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E8" w:rsidRDefault="00847873" w:rsidP="00847873">
      <w:pPr>
        <w:jc w:val="center"/>
        <w:rPr>
          <w:rFonts w:ascii="Times New Roman" w:hAnsi="Times New Roman" w:cs="Times New Roman"/>
          <w:sz w:val="24"/>
          <w:szCs w:val="24"/>
        </w:rPr>
      </w:pPr>
      <w:r>
        <w:rPr>
          <w:rFonts w:ascii="Times New Roman" w:hAnsi="Times New Roman" w:cs="Times New Roman"/>
          <w:sz w:val="24"/>
          <w:szCs w:val="24"/>
        </w:rPr>
        <w:t>Upaya meningkatkan kepercayaan diri melalui bimbingan konseling</w:t>
      </w:r>
    </w:p>
    <w:p w:rsidR="00847873" w:rsidRDefault="00847873" w:rsidP="00847873">
      <w:pPr>
        <w:jc w:val="center"/>
        <w:rPr>
          <w:rFonts w:ascii="Times New Roman" w:hAnsi="Times New Roman" w:cs="Times New Roman"/>
          <w:sz w:val="24"/>
          <w:szCs w:val="24"/>
        </w:rPr>
      </w:pPr>
      <w:r>
        <w:rPr>
          <w:rFonts w:ascii="Times New Roman" w:hAnsi="Times New Roman" w:cs="Times New Roman"/>
          <w:sz w:val="24"/>
          <w:szCs w:val="24"/>
        </w:rPr>
        <w:t>Oleh:</w:t>
      </w:r>
    </w:p>
    <w:p w:rsidR="00847873" w:rsidRDefault="00847873" w:rsidP="00847873">
      <w:pPr>
        <w:jc w:val="center"/>
        <w:rPr>
          <w:rFonts w:ascii="Times New Roman" w:hAnsi="Times New Roman" w:cs="Times New Roman"/>
          <w:sz w:val="24"/>
          <w:szCs w:val="24"/>
        </w:rPr>
      </w:pPr>
      <w:r>
        <w:rPr>
          <w:rFonts w:ascii="Times New Roman" w:hAnsi="Times New Roman" w:cs="Times New Roman"/>
          <w:sz w:val="24"/>
          <w:szCs w:val="24"/>
        </w:rPr>
        <w:t>AAN ASEF RICHVAL (152071000023)</w:t>
      </w:r>
    </w:p>
    <w:p w:rsidR="00E6169E" w:rsidRDefault="00E6169E" w:rsidP="00847873">
      <w:pPr>
        <w:jc w:val="center"/>
        <w:rPr>
          <w:rFonts w:ascii="Times New Roman" w:hAnsi="Times New Roman" w:cs="Times New Roman"/>
          <w:sz w:val="24"/>
          <w:szCs w:val="24"/>
        </w:rPr>
      </w:pPr>
      <w:r>
        <w:rPr>
          <w:rFonts w:ascii="Times New Roman" w:hAnsi="Times New Roman" w:cs="Times New Roman"/>
          <w:sz w:val="24"/>
          <w:szCs w:val="24"/>
        </w:rPr>
        <w:t>Pendidikan Agama Islam, Fakultas Agama Islam, Universitas Muhammadiyah</w:t>
      </w:r>
    </w:p>
    <w:p w:rsidR="00847873" w:rsidRDefault="00036585" w:rsidP="00847873">
      <w:pPr>
        <w:jc w:val="center"/>
        <w:rPr>
          <w:rFonts w:ascii="Times New Roman" w:hAnsi="Times New Roman" w:cs="Times New Roman"/>
          <w:sz w:val="24"/>
          <w:szCs w:val="24"/>
        </w:rPr>
      </w:pPr>
      <w:hyperlink r:id="rId8" w:history="1">
        <w:r w:rsidR="00847873" w:rsidRPr="009F7035">
          <w:rPr>
            <w:rStyle w:val="Hyperlink"/>
            <w:rFonts w:ascii="Times New Roman" w:hAnsi="Times New Roman" w:cs="Times New Roman"/>
            <w:sz w:val="24"/>
            <w:szCs w:val="24"/>
          </w:rPr>
          <w:t>Asefrichval25@gmail.com</w:t>
        </w:r>
      </w:hyperlink>
    </w:p>
    <w:p w:rsidR="00847873" w:rsidRDefault="00847873" w:rsidP="00847873">
      <w:pPr>
        <w:jc w:val="center"/>
        <w:rPr>
          <w:rFonts w:ascii="Times New Roman" w:hAnsi="Times New Roman" w:cs="Times New Roman"/>
          <w:sz w:val="24"/>
          <w:szCs w:val="24"/>
        </w:rPr>
      </w:pPr>
    </w:p>
    <w:p w:rsidR="00847873" w:rsidRDefault="00847873" w:rsidP="006473F1">
      <w:pPr>
        <w:spacing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6473F1" w:rsidRPr="00E6169E" w:rsidRDefault="006473F1" w:rsidP="00B74F31">
      <w:pPr>
        <w:spacing w:line="360" w:lineRule="auto"/>
        <w:ind w:firstLine="720"/>
        <w:jc w:val="both"/>
        <w:rPr>
          <w:rFonts w:ascii="Times New Roman" w:hAnsi="Times New Roman" w:cs="Times New Roman"/>
          <w:sz w:val="24"/>
          <w:szCs w:val="24"/>
        </w:rPr>
      </w:pPr>
      <w:r w:rsidRPr="00E6169E">
        <w:rPr>
          <w:rFonts w:ascii="Times New Roman" w:hAnsi="Times New Roman" w:cs="Times New Roman"/>
          <w:sz w:val="24"/>
          <w:szCs w:val="24"/>
        </w:rPr>
        <w:t>U</w:t>
      </w:r>
      <w:r w:rsidR="00847873" w:rsidRPr="00E6169E">
        <w:rPr>
          <w:rFonts w:ascii="Times New Roman" w:hAnsi="Times New Roman" w:cs="Times New Roman"/>
          <w:sz w:val="24"/>
          <w:szCs w:val="24"/>
        </w:rPr>
        <w:t>sia remaja</w:t>
      </w:r>
      <w:r w:rsidRPr="00E6169E">
        <w:rPr>
          <w:rFonts w:ascii="Times New Roman" w:hAnsi="Times New Roman" w:cs="Times New Roman"/>
          <w:sz w:val="24"/>
          <w:szCs w:val="24"/>
        </w:rPr>
        <w:t xml:space="preserve"> merupakan siswa yang masih duduk di bangku SMA </w:t>
      </w:r>
      <w:r w:rsidR="00847873" w:rsidRPr="00E6169E">
        <w:rPr>
          <w:rFonts w:ascii="Times New Roman" w:hAnsi="Times New Roman" w:cs="Times New Roman"/>
          <w:sz w:val="24"/>
          <w:szCs w:val="24"/>
        </w:rPr>
        <w:t>antara usia 15 – 17 tahun. Remaja adalah</w:t>
      </w:r>
      <w:r w:rsidRPr="00E6169E">
        <w:rPr>
          <w:rFonts w:ascii="Times New Roman" w:hAnsi="Times New Roman" w:cs="Times New Roman"/>
          <w:sz w:val="24"/>
          <w:szCs w:val="24"/>
        </w:rPr>
        <w:t xml:space="preserve"> masa peralihan dari masa kanak-</w:t>
      </w:r>
      <w:r w:rsidR="00847873" w:rsidRPr="00E6169E">
        <w:rPr>
          <w:rFonts w:ascii="Times New Roman" w:hAnsi="Times New Roman" w:cs="Times New Roman"/>
          <w:sz w:val="24"/>
          <w:szCs w:val="24"/>
        </w:rPr>
        <w:t>kanak yang penuh ketergantungan menuju masa pembentukan bertanggung jawab. Perubahan yang terjadi di masa remaja akan mempengaruhi perilaku individu. Pada masa remaja inilah siswa harus memiliki kepercayaan diri yang cukup untuk melangkah karena aspek kepercayaan diri ini merupakan aspek yang sangat berpengaruh dalam membentuk kepribadian siswa. Kepercayaan diri sangat dibutuhkan oleh setiap siswa, karena aspek kepercayaan diri ini mempengaruhi dalam setiap proses belajarnya, baik dalam belajar di kelas, di rumah atau di manapun.</w:t>
      </w:r>
    </w:p>
    <w:p w:rsidR="00847873" w:rsidRPr="00E6169E" w:rsidRDefault="00847873" w:rsidP="00B74F31">
      <w:pPr>
        <w:spacing w:line="360" w:lineRule="auto"/>
        <w:ind w:firstLine="720"/>
        <w:jc w:val="both"/>
        <w:rPr>
          <w:rFonts w:ascii="Times New Roman" w:hAnsi="Times New Roman" w:cs="Times New Roman"/>
          <w:sz w:val="24"/>
          <w:szCs w:val="24"/>
        </w:rPr>
      </w:pPr>
      <w:r w:rsidRPr="00E6169E">
        <w:rPr>
          <w:rFonts w:ascii="Times New Roman" w:hAnsi="Times New Roman" w:cs="Times New Roman"/>
          <w:sz w:val="24"/>
          <w:szCs w:val="24"/>
        </w:rPr>
        <w:t xml:space="preserve"> Adap</w:t>
      </w:r>
      <w:r w:rsidR="006473F1" w:rsidRPr="00E6169E">
        <w:rPr>
          <w:rFonts w:ascii="Times New Roman" w:hAnsi="Times New Roman" w:cs="Times New Roman"/>
          <w:sz w:val="24"/>
          <w:szCs w:val="24"/>
        </w:rPr>
        <w:t>un tujuan dalam penelitian ini konselor memberikan solusi kepada klien u</w:t>
      </w:r>
      <w:r w:rsidRPr="00E6169E">
        <w:rPr>
          <w:rFonts w:ascii="Times New Roman" w:hAnsi="Times New Roman" w:cs="Times New Roman"/>
          <w:sz w:val="24"/>
          <w:szCs w:val="24"/>
        </w:rPr>
        <w:t>ntuk mengetahui gambaran kondisi</w:t>
      </w:r>
      <w:r w:rsidR="006473F1" w:rsidRPr="00E6169E">
        <w:rPr>
          <w:rFonts w:ascii="Times New Roman" w:hAnsi="Times New Roman" w:cs="Times New Roman"/>
          <w:sz w:val="24"/>
          <w:szCs w:val="24"/>
        </w:rPr>
        <w:t xml:space="preserve"> kepercayaan diri, serta klien agar nantinya dapat meningkatkan kepercayaan diri. </w:t>
      </w:r>
    </w:p>
    <w:p w:rsidR="006473F1" w:rsidRPr="00E6169E" w:rsidRDefault="006473F1" w:rsidP="00B74F31">
      <w:pPr>
        <w:spacing w:line="360" w:lineRule="auto"/>
        <w:jc w:val="both"/>
        <w:rPr>
          <w:rFonts w:ascii="Times New Roman" w:hAnsi="Times New Roman" w:cs="Times New Roman"/>
          <w:sz w:val="24"/>
          <w:szCs w:val="24"/>
        </w:rPr>
      </w:pPr>
      <w:r w:rsidRPr="00E6169E">
        <w:rPr>
          <w:rFonts w:ascii="Times New Roman" w:hAnsi="Times New Roman" w:cs="Times New Roman"/>
          <w:sz w:val="24"/>
          <w:szCs w:val="24"/>
        </w:rPr>
        <w:t>TEORI PENDUKUNG</w:t>
      </w:r>
    </w:p>
    <w:p w:rsidR="006473F1" w:rsidRPr="00E6169E" w:rsidRDefault="006473F1" w:rsidP="00B74F31">
      <w:pPr>
        <w:spacing w:line="360" w:lineRule="auto"/>
        <w:ind w:firstLine="720"/>
        <w:jc w:val="both"/>
        <w:rPr>
          <w:rFonts w:ascii="Times New Roman" w:hAnsi="Times New Roman" w:cs="Times New Roman"/>
          <w:sz w:val="24"/>
          <w:szCs w:val="24"/>
        </w:rPr>
      </w:pPr>
      <w:r w:rsidRPr="00E6169E">
        <w:rPr>
          <w:rFonts w:ascii="Times New Roman" w:hAnsi="Times New Roman" w:cs="Times New Roman"/>
          <w:sz w:val="24"/>
          <w:szCs w:val="24"/>
        </w:rPr>
        <w:t xml:space="preserve">Pada hakikatnya manusia adalah makhluk sosial yang senantiasa ingin berinteraksi dengan manusia lainnya. Ketika seorang anak masuk dalam lingkungan sekolah, maka anak berperan sebagai siswa. Siswa yang memiliki kepercayaan diri yang baik akan mudah bersosialisasi dengan baik dan lancar dalam memperoleh pemahaman tentang ilmu pengetahuan yang diberikan dalam sekolah. “Pendidikan adalah proses pembudayaan dan pemberdayaan manusia yang sedang berkembang menuju kepribadian mandiri untuk dapat membangun dirinya sendiri dan masyarakat. </w:t>
      </w:r>
      <w:r w:rsidRPr="00E6169E">
        <w:rPr>
          <w:rFonts w:ascii="Times New Roman" w:hAnsi="Times New Roman" w:cs="Times New Roman"/>
          <w:sz w:val="24"/>
          <w:szCs w:val="24"/>
        </w:rPr>
        <w:lastRenderedPageBreak/>
        <w:t>Konsekuensinya pendidikan harus mampu menyentuh dan mengendalikan berbag</w:t>
      </w:r>
      <w:r w:rsidR="00AA2F3D">
        <w:rPr>
          <w:rFonts w:ascii="Times New Roman" w:hAnsi="Times New Roman" w:cs="Times New Roman"/>
          <w:sz w:val="24"/>
          <w:szCs w:val="24"/>
        </w:rPr>
        <w:t>ai aspek perkembangan manusiaan”.</w:t>
      </w:r>
      <w:r w:rsidR="00B74F31" w:rsidRPr="00E6169E">
        <w:rPr>
          <w:rStyle w:val="FootnoteReference"/>
          <w:rFonts w:ascii="Times New Roman" w:hAnsi="Times New Roman" w:cs="Times New Roman"/>
          <w:sz w:val="24"/>
          <w:szCs w:val="24"/>
        </w:rPr>
        <w:footnoteReference w:id="1"/>
      </w:r>
    </w:p>
    <w:p w:rsidR="006473F1" w:rsidRPr="00E6169E" w:rsidRDefault="006473F1" w:rsidP="00B74F31">
      <w:pPr>
        <w:spacing w:line="360" w:lineRule="auto"/>
        <w:ind w:firstLine="720"/>
        <w:jc w:val="both"/>
        <w:rPr>
          <w:rFonts w:ascii="Times New Roman" w:hAnsi="Times New Roman" w:cs="Times New Roman"/>
          <w:sz w:val="24"/>
          <w:szCs w:val="24"/>
        </w:rPr>
      </w:pPr>
      <w:r w:rsidRPr="00E6169E">
        <w:rPr>
          <w:rFonts w:ascii="Times New Roman" w:hAnsi="Times New Roman" w:cs="Times New Roman"/>
          <w:sz w:val="24"/>
          <w:szCs w:val="24"/>
        </w:rPr>
        <w:t xml:space="preserve">Dapat dijelaskan bahwa dalam rangka mewujudkan manusia Indonesia yang cakap serta berilmu dapat dikembangkan melalui kegiatan sekolah yaitu kegiatan kokulikuler, intrakulikuler, dan ekstrakulikuler, disamping itu bimbingan konseling juga ikut andil di dalamnya, yakni membimbing siswa meraih pengembangan diri yang optimal sesuai dengan tahap perkembangan dan tuntutan lingkungan yang positif. Remaja adalah masa peralihan dari masa kanak–kanak yang penuh ketergantungan menuju masa pembentukan bertanggung jawab. Perubahan yang terjadi di masa remaja akan mempengaruhi perilaku individu. Pada masa remaja inilah siswa harus memiliki kepercayaan diri yang cukup untuk melangkah karena aspek kepercayaan diri ini merupakan aspek yang sangat berpengaruh dalam membentuk kepribadian siswa. Kepercayaan diri sangat dibutuhkan oleh setiap siswa, karena aspek kepercayaan diri ini mempengaruhi dalam setiap proses belajarnya, baik dalam belajar di </w:t>
      </w:r>
      <w:r w:rsidR="00AA2F3D">
        <w:rPr>
          <w:rFonts w:ascii="Times New Roman" w:hAnsi="Times New Roman" w:cs="Times New Roman"/>
          <w:sz w:val="24"/>
          <w:szCs w:val="24"/>
        </w:rPr>
        <w:t>kelas, di rumah atau di manapun.</w:t>
      </w:r>
      <w:r w:rsidR="00B74F31" w:rsidRPr="00E6169E">
        <w:rPr>
          <w:rStyle w:val="FootnoteReference"/>
          <w:rFonts w:ascii="Times New Roman" w:hAnsi="Times New Roman" w:cs="Times New Roman"/>
          <w:sz w:val="24"/>
          <w:szCs w:val="24"/>
        </w:rPr>
        <w:footnoteReference w:id="2"/>
      </w:r>
    </w:p>
    <w:p w:rsidR="00B74F31" w:rsidRPr="00E6169E" w:rsidRDefault="00B74F31" w:rsidP="00AA2F3D">
      <w:pPr>
        <w:spacing w:line="360" w:lineRule="auto"/>
        <w:ind w:firstLine="720"/>
        <w:jc w:val="both"/>
        <w:rPr>
          <w:rFonts w:ascii="Times New Roman" w:hAnsi="Times New Roman" w:cs="Times New Roman"/>
          <w:sz w:val="24"/>
          <w:szCs w:val="24"/>
        </w:rPr>
      </w:pPr>
      <w:r w:rsidRPr="00E6169E">
        <w:rPr>
          <w:rFonts w:ascii="Times New Roman" w:hAnsi="Times New Roman" w:cs="Times New Roman"/>
          <w:sz w:val="24"/>
          <w:szCs w:val="24"/>
        </w:rPr>
        <w:t>Ketidakpercayaan diri dapat dipengaruhi beberapa faktor yaitu faktor dari dalam diri individu itu sendiri dan faktor dari lingkungan individu. Faktor dari dalam diri individu adalah rasa benci, rasa takut, kecemasan, tidak dapat menerima kenyataan hidup dan tidak dapat mengaktualisasikan kemampuan yang ada pada dirinya. Faktor lingkungan yang mempengaruhi kepercayaan diri antara lain faktor keluarga, sekolah, teman sebaya dan masyarakat. Faktor dari dalam diri individu dan faktor dari lingkungan individu merupakan sumber permasalahan bagi individu yang mengalami ketidakpercayaan diri. Meskipun kepercayaan diri diidentikkan dengan kemandirian, orang yang percaya dirinya tinggi umumnya lebih mudah terlibat secara pribadi dengan orang lain dan lebih berhasil dalam hubungan antar personal. Berdasarkan pemaparan uraian di atas, dalam upaya memberikan bantuan untuk meningkatkan kepercayaan diri siswa peneliti akan meningkatkan kepercayaan diri siswa melalui layanan bimbingan kelompok.</w:t>
      </w:r>
    </w:p>
    <w:p w:rsidR="00847873" w:rsidRPr="00E6169E" w:rsidRDefault="00847873" w:rsidP="00847873">
      <w:pPr>
        <w:jc w:val="center"/>
        <w:rPr>
          <w:rFonts w:ascii="Times New Roman" w:hAnsi="Times New Roman" w:cs="Times New Roman"/>
          <w:sz w:val="24"/>
          <w:szCs w:val="24"/>
        </w:rPr>
      </w:pPr>
    </w:p>
    <w:p w:rsidR="00847873" w:rsidRDefault="00847873" w:rsidP="00847873">
      <w:pPr>
        <w:jc w:val="center"/>
        <w:rPr>
          <w:rFonts w:ascii="Times New Roman" w:hAnsi="Times New Roman" w:cs="Times New Roman"/>
          <w:sz w:val="24"/>
          <w:szCs w:val="24"/>
        </w:rPr>
      </w:pPr>
    </w:p>
    <w:p w:rsidR="00847873" w:rsidRDefault="00847873" w:rsidP="00AA2F3D">
      <w:pPr>
        <w:rPr>
          <w:rFonts w:ascii="Times New Roman" w:hAnsi="Times New Roman" w:cs="Times New Roman"/>
          <w:sz w:val="24"/>
          <w:szCs w:val="24"/>
        </w:rPr>
      </w:pPr>
    </w:p>
    <w:p w:rsidR="00847873" w:rsidRDefault="00B74F31" w:rsidP="00B74F31">
      <w:pPr>
        <w:rPr>
          <w:rFonts w:ascii="Times New Roman" w:hAnsi="Times New Roman" w:cs="Times New Roman"/>
          <w:sz w:val="24"/>
          <w:szCs w:val="24"/>
        </w:rPr>
      </w:pPr>
      <w:r>
        <w:rPr>
          <w:rFonts w:ascii="Times New Roman" w:hAnsi="Times New Roman" w:cs="Times New Roman"/>
          <w:sz w:val="24"/>
          <w:szCs w:val="24"/>
        </w:rPr>
        <w:lastRenderedPageBreak/>
        <w:t>HASIL PENELITIAN</w:t>
      </w:r>
    </w:p>
    <w:p w:rsidR="00B74F31" w:rsidRDefault="00B74F31" w:rsidP="00B74F31">
      <w:pPr>
        <w:rPr>
          <w:rFonts w:ascii="Times New Roman" w:hAnsi="Times New Roman" w:cs="Times New Roman"/>
          <w:sz w:val="24"/>
          <w:szCs w:val="24"/>
        </w:rPr>
      </w:pPr>
      <w:r>
        <w:rPr>
          <w:rFonts w:ascii="Times New Roman" w:hAnsi="Times New Roman" w:cs="Times New Roman"/>
          <w:sz w:val="24"/>
          <w:szCs w:val="24"/>
        </w:rPr>
        <w:t>1.     Tes AUM</w:t>
      </w:r>
    </w:p>
    <w:p w:rsidR="00B74F31" w:rsidRDefault="00B74F31" w:rsidP="00B74F31">
      <w:pPr>
        <w:rPr>
          <w:rFonts w:ascii="Times New Roman" w:hAnsi="Times New Roman" w:cs="Times New Roman"/>
          <w:sz w:val="24"/>
          <w:szCs w:val="24"/>
        </w:rPr>
      </w:pPr>
      <w:r w:rsidRPr="00847873">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14:anchorId="41864838" wp14:editId="578D53E6">
            <wp:simplePos x="0" y="0"/>
            <wp:positionH relativeFrom="column">
              <wp:posOffset>523240</wp:posOffset>
            </wp:positionH>
            <wp:positionV relativeFrom="paragraph">
              <wp:posOffset>57785</wp:posOffset>
            </wp:positionV>
            <wp:extent cx="5162550" cy="3305175"/>
            <wp:effectExtent l="0" t="0" r="1905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Default="00B74F31" w:rsidP="00B74F31">
      <w:pPr>
        <w:rPr>
          <w:rFonts w:ascii="Times New Roman" w:hAnsi="Times New Roman" w:cs="Times New Roman"/>
          <w:sz w:val="24"/>
          <w:szCs w:val="24"/>
        </w:rPr>
      </w:pPr>
    </w:p>
    <w:p w:rsidR="00B74F31" w:rsidRPr="00B74F31" w:rsidRDefault="00B74F31" w:rsidP="00B74F31">
      <w:pPr>
        <w:rPr>
          <w:rFonts w:ascii="Times New Roman" w:hAnsi="Times New Roman" w:cs="Times New Roman"/>
          <w:sz w:val="24"/>
          <w:szCs w:val="24"/>
        </w:rPr>
      </w:pPr>
    </w:p>
    <w:p w:rsidR="00B74F31" w:rsidRDefault="00B74F31" w:rsidP="00AA2F3D">
      <w:pPr>
        <w:spacing w:line="360" w:lineRule="auto"/>
        <w:rPr>
          <w:rFonts w:ascii="Times New Roman" w:hAnsi="Times New Roman" w:cs="Times New Roman"/>
          <w:sz w:val="24"/>
          <w:szCs w:val="24"/>
        </w:rPr>
      </w:pPr>
      <w:r>
        <w:rPr>
          <w:rFonts w:ascii="Times New Roman" w:hAnsi="Times New Roman" w:cs="Times New Roman"/>
          <w:sz w:val="24"/>
          <w:szCs w:val="24"/>
        </w:rPr>
        <w:t>2.     Kesimpulan dari hasil tes AUM</w:t>
      </w:r>
    </w:p>
    <w:p w:rsidR="008835E9" w:rsidRDefault="00B74F31" w:rsidP="00AA2F3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pemaparan data diatas  dapat disimpulkan bahwa klien </w:t>
      </w:r>
      <w:r w:rsidR="008835E9">
        <w:rPr>
          <w:rFonts w:ascii="Times New Roman" w:hAnsi="Times New Roman" w:cs="Times New Roman"/>
          <w:sz w:val="24"/>
          <w:szCs w:val="24"/>
        </w:rPr>
        <w:t>RA banyak mengalami masalah pada bidang kesehatan dengan jumlah persantase yang ada sebanyak 22%, pada urutan kedua yaitu pada masalah masa depan, cita-cita, pendidikan, dan pekerjaanyang mencapai sebanyak 17%, serta pada masalah pergaulan atu muda-mudi mencapai 16%.</w:t>
      </w:r>
    </w:p>
    <w:p w:rsidR="00B74F31" w:rsidRDefault="008835E9" w:rsidP="00AA2F3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Masalah yang paling besar sangat paling menonjol ialah terdapat pada kesehatan mencapai 22%, berdasarkan pada pengakuan klien bahwa ia mengaku kurangnya kepercayaan pada dirinya, sehingga klien menganggap bahwa dirinya tidak mampu melakukan apa yang bisa dilakukan oleh orang lain. </w:t>
      </w:r>
    </w:p>
    <w:p w:rsidR="00847873" w:rsidRDefault="00847873" w:rsidP="008835E9">
      <w:pPr>
        <w:jc w:val="both"/>
        <w:rPr>
          <w:rFonts w:ascii="Times New Roman" w:hAnsi="Times New Roman" w:cs="Times New Roman"/>
          <w:sz w:val="24"/>
          <w:szCs w:val="24"/>
        </w:rPr>
      </w:pPr>
    </w:p>
    <w:p w:rsidR="00847873" w:rsidRDefault="00847873" w:rsidP="008835E9">
      <w:pPr>
        <w:jc w:val="both"/>
        <w:rPr>
          <w:rFonts w:ascii="Times New Roman" w:hAnsi="Times New Roman" w:cs="Times New Roman"/>
          <w:sz w:val="24"/>
          <w:szCs w:val="24"/>
        </w:rPr>
      </w:pPr>
    </w:p>
    <w:p w:rsidR="00847873" w:rsidRDefault="00847873" w:rsidP="00AA2F3D">
      <w:pPr>
        <w:rPr>
          <w:rFonts w:ascii="Times New Roman" w:hAnsi="Times New Roman" w:cs="Times New Roman"/>
          <w:sz w:val="24"/>
          <w:szCs w:val="24"/>
        </w:rPr>
      </w:pPr>
    </w:p>
    <w:p w:rsidR="00AA2F3D" w:rsidRDefault="00AA2F3D" w:rsidP="00AA2F3D">
      <w:pPr>
        <w:rPr>
          <w:rFonts w:ascii="Times New Roman" w:hAnsi="Times New Roman" w:cs="Times New Roman"/>
          <w:sz w:val="24"/>
          <w:szCs w:val="24"/>
        </w:rPr>
      </w:pPr>
    </w:p>
    <w:p w:rsidR="00847873" w:rsidRDefault="008835E9" w:rsidP="008835E9">
      <w:pPr>
        <w:rPr>
          <w:rFonts w:ascii="Times New Roman" w:hAnsi="Times New Roman" w:cs="Times New Roman"/>
          <w:sz w:val="24"/>
          <w:szCs w:val="24"/>
        </w:rPr>
      </w:pPr>
      <w:r>
        <w:rPr>
          <w:rFonts w:ascii="Times New Roman" w:hAnsi="Times New Roman" w:cs="Times New Roman"/>
          <w:sz w:val="24"/>
          <w:szCs w:val="24"/>
        </w:rPr>
        <w:lastRenderedPageBreak/>
        <w:t>Tes BDI (Becks Depression Inventory)</w:t>
      </w:r>
    </w:p>
    <w:tbl>
      <w:tblPr>
        <w:tblStyle w:val="TableGrid"/>
        <w:tblpPr w:leftFromText="180" w:rightFromText="180" w:vertAnchor="text" w:horzAnchor="margin" w:tblpY="30"/>
        <w:tblW w:w="9906" w:type="dxa"/>
        <w:tblLook w:val="04A0" w:firstRow="1" w:lastRow="0" w:firstColumn="1" w:lastColumn="0" w:noHBand="0" w:noVBand="1"/>
      </w:tblPr>
      <w:tblGrid>
        <w:gridCol w:w="4953"/>
        <w:gridCol w:w="4953"/>
      </w:tblGrid>
      <w:tr w:rsidR="00A04935" w:rsidTr="00A04935">
        <w:trPr>
          <w:trHeight w:val="672"/>
        </w:trPr>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Kategori</w:t>
            </w:r>
          </w:p>
        </w:tc>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Skor</w:t>
            </w:r>
          </w:p>
        </w:tc>
      </w:tr>
      <w:tr w:rsidR="00A04935" w:rsidTr="00A04935">
        <w:trPr>
          <w:trHeight w:val="713"/>
        </w:trPr>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Minimal</w:t>
            </w:r>
          </w:p>
        </w:tc>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0-9</w:t>
            </w:r>
          </w:p>
        </w:tc>
      </w:tr>
      <w:tr w:rsidR="00A04935" w:rsidTr="00A04935">
        <w:trPr>
          <w:trHeight w:val="672"/>
        </w:trPr>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Ringan</w:t>
            </w:r>
          </w:p>
        </w:tc>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10-18</w:t>
            </w:r>
          </w:p>
        </w:tc>
      </w:tr>
      <w:tr w:rsidR="00A04935" w:rsidTr="00A04935">
        <w:trPr>
          <w:trHeight w:val="672"/>
        </w:trPr>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Sedang</w:t>
            </w:r>
          </w:p>
        </w:tc>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19-29</w:t>
            </w:r>
          </w:p>
        </w:tc>
      </w:tr>
      <w:tr w:rsidR="00A04935" w:rsidTr="00A04935">
        <w:trPr>
          <w:trHeight w:val="713"/>
        </w:trPr>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Berat</w:t>
            </w:r>
          </w:p>
        </w:tc>
        <w:tc>
          <w:tcPr>
            <w:tcW w:w="4953" w:type="dxa"/>
          </w:tcPr>
          <w:p w:rsidR="00A04935" w:rsidRDefault="00A04935" w:rsidP="00A04935">
            <w:pPr>
              <w:jc w:val="center"/>
              <w:rPr>
                <w:rFonts w:ascii="Times New Roman" w:hAnsi="Times New Roman" w:cs="Times New Roman"/>
                <w:sz w:val="24"/>
                <w:szCs w:val="24"/>
              </w:rPr>
            </w:pPr>
            <w:r>
              <w:rPr>
                <w:rFonts w:ascii="Times New Roman" w:hAnsi="Times New Roman" w:cs="Times New Roman"/>
                <w:sz w:val="24"/>
                <w:szCs w:val="24"/>
              </w:rPr>
              <w:t>30-63</w:t>
            </w:r>
          </w:p>
        </w:tc>
      </w:tr>
    </w:tbl>
    <w:p w:rsidR="008835E9" w:rsidRDefault="008835E9" w:rsidP="008835E9">
      <w:pPr>
        <w:rPr>
          <w:rFonts w:ascii="Times New Roman" w:hAnsi="Times New Roman" w:cs="Times New Roman"/>
          <w:sz w:val="24"/>
          <w:szCs w:val="24"/>
        </w:rPr>
      </w:pPr>
      <w:r>
        <w:rPr>
          <w:rFonts w:ascii="Times New Roman" w:hAnsi="Times New Roman" w:cs="Times New Roman"/>
          <w:sz w:val="24"/>
          <w:szCs w:val="24"/>
        </w:rPr>
        <w:tab/>
      </w:r>
    </w:p>
    <w:p w:rsidR="00847873" w:rsidRDefault="00A04935" w:rsidP="00AA2F3D">
      <w:pPr>
        <w:spacing w:line="360" w:lineRule="auto"/>
        <w:rPr>
          <w:rFonts w:ascii="Times New Roman" w:hAnsi="Times New Roman" w:cs="Times New Roman"/>
          <w:sz w:val="24"/>
          <w:szCs w:val="24"/>
        </w:rPr>
      </w:pPr>
      <w:r>
        <w:rPr>
          <w:rFonts w:ascii="Times New Roman" w:hAnsi="Times New Roman" w:cs="Times New Roman"/>
          <w:sz w:val="24"/>
          <w:szCs w:val="24"/>
        </w:rPr>
        <w:t xml:space="preserve">Kesimpulan </w:t>
      </w:r>
    </w:p>
    <w:p w:rsidR="00A04935" w:rsidRDefault="00A04935" w:rsidP="00AA2F3D">
      <w:pPr>
        <w:spacing w:line="360" w:lineRule="auto"/>
        <w:rPr>
          <w:rFonts w:ascii="Times New Roman" w:hAnsi="Times New Roman" w:cs="Times New Roman"/>
          <w:sz w:val="24"/>
          <w:szCs w:val="24"/>
        </w:rPr>
      </w:pPr>
      <w:r>
        <w:rPr>
          <w:rFonts w:ascii="Times New Roman" w:hAnsi="Times New Roman" w:cs="Times New Roman"/>
          <w:sz w:val="24"/>
          <w:szCs w:val="24"/>
        </w:rPr>
        <w:t>Dari hasil angket yang diisi klien  RA memiliki tingkat depresi yang rendah yaitu 7 , sehingga klien tidak memiliki hal depresi.</w:t>
      </w:r>
    </w:p>
    <w:p w:rsidR="00A04935" w:rsidRDefault="00A04935" w:rsidP="00A04935">
      <w:pPr>
        <w:rPr>
          <w:rFonts w:ascii="Times New Roman" w:hAnsi="Times New Roman" w:cs="Times New Roman"/>
          <w:sz w:val="24"/>
          <w:szCs w:val="24"/>
        </w:rPr>
      </w:pPr>
      <w:r>
        <w:rPr>
          <w:rFonts w:ascii="Times New Roman" w:hAnsi="Times New Roman" w:cs="Times New Roman"/>
          <w:sz w:val="24"/>
          <w:szCs w:val="24"/>
        </w:rPr>
        <w:t>Tes Gaya Belajar</w:t>
      </w:r>
    </w:p>
    <w:p w:rsidR="0049385D" w:rsidRDefault="0049385D" w:rsidP="00A04935">
      <w:pPr>
        <w:rPr>
          <w:rFonts w:ascii="Times New Roman" w:hAnsi="Times New Roman" w:cs="Times New Roman"/>
          <w:sz w:val="24"/>
          <w:szCs w:val="24"/>
        </w:rPr>
      </w:pPr>
      <w:r>
        <w:rPr>
          <w:rFonts w:ascii="Times New Roman" w:hAnsi="Times New Roman" w:cs="Times New Roman"/>
          <w:sz w:val="24"/>
          <w:szCs w:val="24"/>
        </w:rPr>
        <w:t>Hasil tes gaya belajar</w:t>
      </w:r>
    </w:p>
    <w:p w:rsidR="0049385D" w:rsidRDefault="00A04935" w:rsidP="00A04935">
      <w:pPr>
        <w:rPr>
          <w:rFonts w:ascii="Times New Roman" w:hAnsi="Times New Roman" w:cs="Times New Roman"/>
          <w:sz w:val="24"/>
          <w:szCs w:val="24"/>
        </w:rPr>
      </w:pPr>
      <w:r>
        <w:rPr>
          <w:noProof/>
          <w:lang w:val="id-ID" w:eastAsia="id-ID"/>
        </w:rPr>
        <w:drawing>
          <wp:inline distT="0" distB="0" distL="0" distR="0" wp14:anchorId="63D88A4D" wp14:editId="053E8D75">
            <wp:extent cx="6180083" cy="3005959"/>
            <wp:effectExtent l="0" t="0" r="1143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385D" w:rsidRDefault="0049385D" w:rsidP="0049385D">
      <w:pPr>
        <w:rPr>
          <w:rFonts w:ascii="Times New Roman" w:hAnsi="Times New Roman" w:cs="Times New Roman"/>
          <w:sz w:val="24"/>
          <w:szCs w:val="24"/>
        </w:rPr>
      </w:pPr>
    </w:p>
    <w:p w:rsidR="0049385D" w:rsidRDefault="0049385D" w:rsidP="0049385D">
      <w:pPr>
        <w:rPr>
          <w:rFonts w:ascii="Times New Roman" w:hAnsi="Times New Roman" w:cs="Times New Roman"/>
          <w:sz w:val="24"/>
          <w:szCs w:val="24"/>
        </w:rPr>
      </w:pPr>
    </w:p>
    <w:p w:rsidR="00AA2F3D" w:rsidRDefault="00AA2F3D" w:rsidP="0049385D">
      <w:pPr>
        <w:rPr>
          <w:rFonts w:ascii="Times New Roman" w:hAnsi="Times New Roman" w:cs="Times New Roman"/>
          <w:sz w:val="24"/>
          <w:szCs w:val="24"/>
        </w:rPr>
      </w:pPr>
    </w:p>
    <w:p w:rsidR="0049385D" w:rsidRDefault="0049385D" w:rsidP="0049385D">
      <w:pPr>
        <w:tabs>
          <w:tab w:val="left" w:pos="2797"/>
        </w:tabs>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49385D" w:rsidRDefault="0049385D" w:rsidP="00AA2F3D">
      <w:pPr>
        <w:tabs>
          <w:tab w:val="left" w:pos="2797"/>
        </w:tabs>
        <w:spacing w:line="360" w:lineRule="auto"/>
        <w:jc w:val="both"/>
        <w:rPr>
          <w:rFonts w:ascii="Times New Roman" w:hAnsi="Times New Roman" w:cs="Times New Roman"/>
          <w:sz w:val="24"/>
          <w:szCs w:val="24"/>
        </w:rPr>
      </w:pPr>
      <w:r>
        <w:rPr>
          <w:rFonts w:ascii="Times New Roman" w:hAnsi="Times New Roman" w:cs="Times New Roman"/>
          <w:sz w:val="24"/>
          <w:szCs w:val="24"/>
        </w:rPr>
        <w:t>Dapat terlihat bahwa dari hasil tes menunjukkan bahwa RA termasuk dalam gaya belajar kategori kinestetik sebanyak 50% sedangkan auditorial sebanyak 29% dan visual sebanyak 21% dengan perolehan tes gaya belajar diatas dapat disimpulkan bahwa RA memiliki gaya belajar kinestetik. Klien mengaku bahwa ia lebih paham jika materi yang diajarkan guru langsung diperaktekan. Dan juga klien tidak bisa diam lebih lama melainkan lebih suka melakukan banyak bergerak.</w:t>
      </w:r>
    </w:p>
    <w:p w:rsidR="0049385D" w:rsidRDefault="0049385D" w:rsidP="0049385D">
      <w:pPr>
        <w:tabs>
          <w:tab w:val="left" w:pos="2797"/>
        </w:tabs>
        <w:jc w:val="both"/>
        <w:rPr>
          <w:rFonts w:ascii="Times New Roman" w:hAnsi="Times New Roman" w:cs="Times New Roman"/>
          <w:sz w:val="24"/>
          <w:szCs w:val="24"/>
        </w:rPr>
      </w:pPr>
      <w:r>
        <w:rPr>
          <w:rFonts w:ascii="Times New Roman" w:hAnsi="Times New Roman" w:cs="Times New Roman"/>
          <w:sz w:val="24"/>
          <w:szCs w:val="24"/>
        </w:rPr>
        <w:t>Tes Kecerdsan Majemuk</w:t>
      </w:r>
    </w:p>
    <w:p w:rsidR="00A72B24" w:rsidRDefault="00A72B24" w:rsidP="0049385D">
      <w:pPr>
        <w:tabs>
          <w:tab w:val="left" w:pos="2797"/>
        </w:tabs>
        <w:jc w:val="both"/>
        <w:rPr>
          <w:rFonts w:ascii="Times New Roman" w:hAnsi="Times New Roman" w:cs="Times New Roman"/>
          <w:sz w:val="24"/>
          <w:szCs w:val="24"/>
        </w:rPr>
      </w:pPr>
      <w:r>
        <w:rPr>
          <w:rFonts w:ascii="Times New Roman" w:hAnsi="Times New Roman" w:cs="Times New Roman"/>
          <w:sz w:val="24"/>
          <w:szCs w:val="24"/>
        </w:rPr>
        <w:t>Hasil dari Tes Kecerdsan Majemuk</w:t>
      </w:r>
    </w:p>
    <w:p w:rsidR="00A72B24" w:rsidRDefault="00A72B24" w:rsidP="0049385D">
      <w:pPr>
        <w:tabs>
          <w:tab w:val="left" w:pos="2797"/>
        </w:tabs>
        <w:jc w:val="both"/>
        <w:rPr>
          <w:rFonts w:ascii="Times New Roman" w:hAnsi="Times New Roman" w:cs="Times New Roman"/>
          <w:sz w:val="24"/>
          <w:szCs w:val="24"/>
        </w:rPr>
      </w:pPr>
      <w:r>
        <w:rPr>
          <w:noProof/>
          <w:lang w:val="id-ID" w:eastAsia="id-ID"/>
        </w:rPr>
        <w:drawing>
          <wp:inline distT="0" distB="0" distL="0" distR="0" wp14:anchorId="4BC5810B" wp14:editId="72F45E08">
            <wp:extent cx="5857875" cy="3209926"/>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385D" w:rsidRDefault="0049385D" w:rsidP="0049385D">
      <w:pPr>
        <w:tabs>
          <w:tab w:val="left" w:pos="2797"/>
        </w:tabs>
        <w:jc w:val="both"/>
        <w:rPr>
          <w:rFonts w:ascii="Times New Roman" w:hAnsi="Times New Roman" w:cs="Times New Roman"/>
          <w:sz w:val="24"/>
          <w:szCs w:val="24"/>
        </w:rPr>
      </w:pPr>
      <w:r>
        <w:rPr>
          <w:rFonts w:ascii="Times New Roman" w:hAnsi="Times New Roman" w:cs="Times New Roman"/>
          <w:sz w:val="24"/>
          <w:szCs w:val="24"/>
        </w:rPr>
        <w:t xml:space="preserve"> </w:t>
      </w:r>
      <w:r w:rsidR="00A72B24">
        <w:rPr>
          <w:rFonts w:ascii="Times New Roman" w:hAnsi="Times New Roman" w:cs="Times New Roman"/>
          <w:sz w:val="24"/>
          <w:szCs w:val="24"/>
        </w:rPr>
        <w:t xml:space="preserve">Kesimpilan </w:t>
      </w:r>
    </w:p>
    <w:p w:rsidR="00A72B24" w:rsidRDefault="00A72B24" w:rsidP="00AA2F3D">
      <w:pPr>
        <w:tabs>
          <w:tab w:val="left" w:pos="2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hasil adanya pemaparan hasil data diatas klien RA memiliki kecerdasan interpersonal yang memiliki hasil sebanyak 23% hal ini dapat dilihat pada persentase keenam diatas. Selain memiliki persentase </w:t>
      </w:r>
      <w:r w:rsidR="00E6169E">
        <w:rPr>
          <w:rFonts w:ascii="Times New Roman" w:hAnsi="Times New Roman" w:cs="Times New Roman"/>
          <w:sz w:val="24"/>
          <w:szCs w:val="24"/>
        </w:rPr>
        <w:t>paling tinggi ada 3 diantara nya yakni kecerdasan spasial memiliki persentasi sebanyak 19%, kedua kecerdasan majemuk sebanyak 16%, dan ketiga kecerdasan majemuk.</w:t>
      </w:r>
    </w:p>
    <w:p w:rsidR="00AA2F3D" w:rsidRDefault="0049385D" w:rsidP="0049385D">
      <w:pPr>
        <w:tabs>
          <w:tab w:val="left" w:pos="2797"/>
        </w:tabs>
        <w:jc w:val="both"/>
        <w:rPr>
          <w:rFonts w:ascii="Times New Roman" w:hAnsi="Times New Roman" w:cs="Times New Roman"/>
          <w:sz w:val="24"/>
          <w:szCs w:val="24"/>
        </w:rPr>
      </w:pPr>
      <w:r>
        <w:rPr>
          <w:rFonts w:ascii="Times New Roman" w:hAnsi="Times New Roman" w:cs="Times New Roman"/>
          <w:sz w:val="24"/>
          <w:szCs w:val="24"/>
        </w:rPr>
        <w:tab/>
      </w:r>
    </w:p>
    <w:p w:rsidR="00AA2F3D" w:rsidRDefault="00AA2F3D">
      <w:pPr>
        <w:rPr>
          <w:rFonts w:ascii="Times New Roman" w:hAnsi="Times New Roman" w:cs="Times New Roman"/>
          <w:sz w:val="24"/>
          <w:szCs w:val="24"/>
        </w:rPr>
      </w:pPr>
      <w:r>
        <w:rPr>
          <w:rFonts w:ascii="Times New Roman" w:hAnsi="Times New Roman" w:cs="Times New Roman"/>
          <w:sz w:val="24"/>
          <w:szCs w:val="24"/>
        </w:rPr>
        <w:lastRenderedPageBreak/>
        <w:br w:type="page"/>
      </w:r>
    </w:p>
    <w:p w:rsidR="00A04935" w:rsidRDefault="00AA2F3D" w:rsidP="00AA2F3D">
      <w:pPr>
        <w:tabs>
          <w:tab w:val="left" w:pos="2797"/>
        </w:tabs>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AA2F3D" w:rsidRPr="00AA2F3D" w:rsidRDefault="00AA2F3D" w:rsidP="00AA2F3D">
      <w:pPr>
        <w:tabs>
          <w:tab w:val="left" w:pos="2797"/>
        </w:tabs>
        <w:spacing w:line="360" w:lineRule="auto"/>
        <w:rPr>
          <w:rFonts w:ascii="Times New Roman" w:hAnsi="Times New Roman" w:cs="Times New Roman"/>
          <w:sz w:val="24"/>
          <w:szCs w:val="24"/>
        </w:rPr>
      </w:pPr>
      <w:r w:rsidRPr="00AA2F3D">
        <w:rPr>
          <w:rFonts w:ascii="Times New Roman" w:hAnsi="Times New Roman" w:cs="Times New Roman"/>
          <w:sz w:val="24"/>
          <w:szCs w:val="24"/>
        </w:rPr>
        <w:t xml:space="preserve">Wibowo, Mungin Eddy. 2005. </w:t>
      </w:r>
      <w:r w:rsidRPr="00AA2F3D">
        <w:rPr>
          <w:rFonts w:ascii="Times New Roman" w:hAnsi="Times New Roman" w:cs="Times New Roman"/>
          <w:i/>
          <w:sz w:val="24"/>
          <w:szCs w:val="24"/>
        </w:rPr>
        <w:t>Konseling Kelompok Perkembangan</w:t>
      </w:r>
      <w:r w:rsidRPr="00AA2F3D">
        <w:rPr>
          <w:rFonts w:ascii="Times New Roman" w:hAnsi="Times New Roman" w:cs="Times New Roman"/>
          <w:sz w:val="24"/>
          <w:szCs w:val="24"/>
        </w:rPr>
        <w:t>. Semarang : UNNES Press</w:t>
      </w:r>
    </w:p>
    <w:p w:rsidR="00AA2F3D" w:rsidRDefault="00AA2F3D" w:rsidP="00AA2F3D">
      <w:pPr>
        <w:tabs>
          <w:tab w:val="left" w:pos="2797"/>
        </w:tabs>
        <w:spacing w:line="360" w:lineRule="auto"/>
        <w:rPr>
          <w:rFonts w:ascii="Times New Roman" w:hAnsi="Times New Roman" w:cs="Times New Roman"/>
          <w:sz w:val="24"/>
          <w:szCs w:val="24"/>
        </w:rPr>
      </w:pPr>
      <w:r w:rsidRPr="00AA2F3D">
        <w:rPr>
          <w:rFonts w:ascii="Times New Roman" w:hAnsi="Times New Roman" w:cs="Times New Roman"/>
          <w:sz w:val="24"/>
          <w:szCs w:val="24"/>
        </w:rPr>
        <w:t xml:space="preserve">Angelis, Barbara D. 2005. </w:t>
      </w:r>
      <w:r w:rsidRPr="00AA2F3D">
        <w:rPr>
          <w:rFonts w:ascii="Times New Roman" w:hAnsi="Times New Roman" w:cs="Times New Roman"/>
          <w:i/>
          <w:sz w:val="24"/>
          <w:szCs w:val="24"/>
        </w:rPr>
        <w:t>Percaya Diri</w:t>
      </w:r>
      <w:r w:rsidRPr="00AA2F3D">
        <w:rPr>
          <w:rFonts w:ascii="Times New Roman" w:hAnsi="Times New Roman" w:cs="Times New Roman"/>
          <w:sz w:val="24"/>
          <w:szCs w:val="24"/>
        </w:rPr>
        <w:t>. Jakarta: Gramedia Pustaka Utama</w:t>
      </w:r>
    </w:p>
    <w:p w:rsidR="008A2767" w:rsidRDefault="008A2767" w:rsidP="008A2767">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Nurdyansyah, N., &amp; Fahyuni, E. F. (2016). Inovasi Model Pembelajaran Sesuai Kurikulum 2013.Sidoarjo: Nizamia learning center.</w:t>
      </w:r>
    </w:p>
    <w:p w:rsidR="008A2767" w:rsidRDefault="008A2767" w:rsidP="008A2767">
      <w:pPr>
        <w:spacing w:before="120" w:after="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8A2767" w:rsidRDefault="008A2767" w:rsidP="008A2767">
      <w:pPr>
        <w:spacing w:before="120" w:after="0" w:line="240" w:lineRule="auto"/>
        <w:ind w:left="993" w:hanging="993"/>
      </w:pPr>
      <w:bookmarkStart w:id="0" w:name="_GoBack"/>
      <w:bookmarkEnd w:id="0"/>
    </w:p>
    <w:p w:rsidR="008A2767" w:rsidRPr="001833C3" w:rsidRDefault="008A2767" w:rsidP="008A2767">
      <w:pPr>
        <w:ind w:left="993" w:hanging="993"/>
        <w:jc w:val="both"/>
        <w:rPr>
          <w:rFonts w:ascii="Times New Roman" w:hAnsi="Times New Roman" w:cs="Times New Roman"/>
          <w:b/>
          <w:bCs/>
          <w:i/>
          <w:iCs/>
          <w:sz w:val="24"/>
          <w:szCs w:val="24"/>
        </w:rPr>
      </w:pPr>
      <w:r w:rsidRPr="008A4DFB">
        <w:rPr>
          <w:rFonts w:ascii="Times New Roman" w:hAnsi="Times New Roman" w:cs="Times New Roman"/>
          <w:sz w:val="24"/>
          <w:szCs w:val="24"/>
        </w:rPr>
        <w:t xml:space="preserve">Fahyuni, Eni Fariyatul. Siti Masitoh &amp; Rusijono. The Guided-Inquiry-Worksheet Stimulating Process Skills and Concept Understanding in Indonesia Junior High School. Asian Journal of Education and Social Studies. </w:t>
      </w:r>
      <w:r w:rsidRPr="008A4DFB">
        <w:rPr>
          <w:rFonts w:ascii="Times New Roman" w:hAnsi="Times New Roman" w:cs="Times New Roman"/>
          <w:bCs/>
          <w:i/>
          <w:iCs/>
          <w:sz w:val="24"/>
          <w:szCs w:val="24"/>
        </w:rPr>
        <w:t>3(1): 1-10, 2019; Article no.AJESS.44645</w:t>
      </w:r>
    </w:p>
    <w:p w:rsidR="008A2767" w:rsidRPr="001833C3" w:rsidRDefault="008A2767" w:rsidP="008A2767">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Istikomah, EF Fahyuni, I Fauji. Integration of Schools and Madrassa into Pesantren in Indonesia. Advances in Social Science, Education and Humanities Research (ASSEHR), volume 1251st International Conference on Intellectuals' Global Responsibility (ICIGR 2017)</w:t>
      </w:r>
    </w:p>
    <w:p w:rsidR="008A2767" w:rsidRPr="00AA2F3D" w:rsidRDefault="008A2767" w:rsidP="00AA2F3D">
      <w:pPr>
        <w:tabs>
          <w:tab w:val="left" w:pos="2797"/>
        </w:tabs>
        <w:spacing w:line="360" w:lineRule="auto"/>
        <w:rPr>
          <w:rFonts w:ascii="Times New Roman" w:hAnsi="Times New Roman" w:cs="Times New Roman"/>
          <w:sz w:val="24"/>
          <w:szCs w:val="24"/>
        </w:rPr>
      </w:pPr>
    </w:p>
    <w:sectPr w:rsidR="008A2767" w:rsidRPr="00AA2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85" w:rsidRDefault="00036585" w:rsidP="00B74F31">
      <w:pPr>
        <w:spacing w:after="0" w:line="240" w:lineRule="auto"/>
      </w:pPr>
      <w:r>
        <w:separator/>
      </w:r>
    </w:p>
  </w:endnote>
  <w:endnote w:type="continuationSeparator" w:id="0">
    <w:p w:rsidR="00036585" w:rsidRDefault="00036585" w:rsidP="00B7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85" w:rsidRDefault="00036585" w:rsidP="00B74F31">
      <w:pPr>
        <w:spacing w:after="0" w:line="240" w:lineRule="auto"/>
      </w:pPr>
      <w:r>
        <w:separator/>
      </w:r>
    </w:p>
  </w:footnote>
  <w:footnote w:type="continuationSeparator" w:id="0">
    <w:p w:rsidR="00036585" w:rsidRDefault="00036585" w:rsidP="00B74F31">
      <w:pPr>
        <w:spacing w:after="0" w:line="240" w:lineRule="auto"/>
      </w:pPr>
      <w:r>
        <w:continuationSeparator/>
      </w:r>
    </w:p>
  </w:footnote>
  <w:footnote w:id="1">
    <w:p w:rsidR="00B74F31" w:rsidRDefault="00B74F31">
      <w:pPr>
        <w:pStyle w:val="FootnoteText"/>
      </w:pPr>
      <w:r>
        <w:rPr>
          <w:rStyle w:val="FootnoteReference"/>
        </w:rPr>
        <w:footnoteRef/>
      </w:r>
      <w:r>
        <w:t xml:space="preserve"> </w:t>
      </w:r>
      <w:r w:rsidR="00E6169E">
        <w:t xml:space="preserve">Mungin Eddy Wibowo, </w:t>
      </w:r>
      <w:r w:rsidR="00E6169E" w:rsidRPr="00E6169E">
        <w:rPr>
          <w:i/>
        </w:rPr>
        <w:t>Konseling Kelompok Perkembangan</w:t>
      </w:r>
      <w:r w:rsidR="00E6169E">
        <w:t>. (Semarang : UNNES Press, 2005), 6-7</w:t>
      </w:r>
    </w:p>
  </w:footnote>
  <w:footnote w:id="2">
    <w:p w:rsidR="00B74F31" w:rsidRDefault="00B74F31">
      <w:pPr>
        <w:pStyle w:val="FootnoteText"/>
      </w:pPr>
      <w:r>
        <w:rPr>
          <w:rStyle w:val="FootnoteReference"/>
        </w:rPr>
        <w:footnoteRef/>
      </w:r>
      <w:r>
        <w:t xml:space="preserve"> </w:t>
      </w:r>
      <w:r w:rsidR="00E6169E">
        <w:t xml:space="preserve">Barbara D Angelis,  </w:t>
      </w:r>
      <w:r w:rsidR="00E6169E" w:rsidRPr="00E6169E">
        <w:rPr>
          <w:i/>
        </w:rPr>
        <w:t>Percaya Diri</w:t>
      </w:r>
      <w:r w:rsidR="00E6169E">
        <w:t>, (Jakarta: Gramedia Pustaka Utama, 2005),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F2A1D"/>
    <w:multiLevelType w:val="hybridMultilevel"/>
    <w:tmpl w:val="BEB4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A"/>
    <w:rsid w:val="00036585"/>
    <w:rsid w:val="0049385D"/>
    <w:rsid w:val="004B6ADA"/>
    <w:rsid w:val="006473F1"/>
    <w:rsid w:val="00847873"/>
    <w:rsid w:val="008835E9"/>
    <w:rsid w:val="008A2767"/>
    <w:rsid w:val="0094557A"/>
    <w:rsid w:val="00973637"/>
    <w:rsid w:val="009B5B98"/>
    <w:rsid w:val="009D0AE8"/>
    <w:rsid w:val="00A04935"/>
    <w:rsid w:val="00A72B24"/>
    <w:rsid w:val="00AA2F3D"/>
    <w:rsid w:val="00B74F31"/>
    <w:rsid w:val="00C11A1A"/>
    <w:rsid w:val="00E6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03BA4-A39A-41A0-97A3-E47C6803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7A"/>
    <w:rPr>
      <w:rFonts w:ascii="Tahoma" w:hAnsi="Tahoma" w:cs="Tahoma"/>
      <w:sz w:val="16"/>
      <w:szCs w:val="16"/>
    </w:rPr>
  </w:style>
  <w:style w:type="character" w:styleId="Hyperlink">
    <w:name w:val="Hyperlink"/>
    <w:basedOn w:val="DefaultParagraphFont"/>
    <w:uiPriority w:val="99"/>
    <w:unhideWhenUsed/>
    <w:rsid w:val="00847873"/>
    <w:rPr>
      <w:color w:val="0000FF" w:themeColor="hyperlink"/>
      <w:u w:val="single"/>
    </w:rPr>
  </w:style>
  <w:style w:type="paragraph" w:styleId="FootnoteText">
    <w:name w:val="footnote text"/>
    <w:basedOn w:val="Normal"/>
    <w:link w:val="FootnoteTextChar"/>
    <w:uiPriority w:val="99"/>
    <w:semiHidden/>
    <w:unhideWhenUsed/>
    <w:rsid w:val="00B74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F31"/>
    <w:rPr>
      <w:sz w:val="20"/>
      <w:szCs w:val="20"/>
    </w:rPr>
  </w:style>
  <w:style w:type="character" w:styleId="FootnoteReference">
    <w:name w:val="footnote reference"/>
    <w:basedOn w:val="DefaultParagraphFont"/>
    <w:uiPriority w:val="99"/>
    <w:semiHidden/>
    <w:unhideWhenUsed/>
    <w:rsid w:val="00B74F31"/>
    <w:rPr>
      <w:vertAlign w:val="superscript"/>
    </w:rPr>
  </w:style>
  <w:style w:type="paragraph" w:styleId="ListParagraph">
    <w:name w:val="List Paragraph"/>
    <w:basedOn w:val="Normal"/>
    <w:uiPriority w:val="34"/>
    <w:qFormat/>
    <w:rsid w:val="00B74F31"/>
    <w:pPr>
      <w:ind w:left="720"/>
      <w:contextualSpacing/>
    </w:pPr>
  </w:style>
  <w:style w:type="table" w:styleId="TableGrid">
    <w:name w:val="Table Grid"/>
    <w:basedOn w:val="TableNormal"/>
    <w:uiPriority w:val="59"/>
    <w:rsid w:val="00A04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frichval2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Tes</a:t>
            </a:r>
            <a:r>
              <a:rPr lang="en-US" baseline="0"/>
              <a:t> AUM</a:t>
            </a:r>
            <a:endParaRPr lang="en-US"/>
          </a:p>
        </c:rich>
      </c:tx>
      <c:overlay val="0"/>
    </c:title>
    <c:autoTitleDeleted val="0"/>
    <c:plotArea>
      <c:layout/>
      <c:pieChart>
        <c:varyColors val="1"/>
        <c:ser>
          <c:idx val="0"/>
          <c:order val="0"/>
          <c:dLbls>
            <c:spPr>
              <a:noFill/>
              <a:ln>
                <a:noFill/>
              </a:ln>
              <a:effectLst/>
            </c:spPr>
            <c:txPr>
              <a:bodyPr/>
              <a:lstStyle/>
              <a:p>
                <a:pPr>
                  <a:defRPr>
                    <a:solidFill>
                      <a:sysClr val="windowText" lastClr="000000"/>
                    </a:solidFill>
                  </a:defRPr>
                </a:pPr>
                <a:endParaRPr lang="id-ID"/>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Kesehatan</c:v>
                </c:pt>
                <c:pt idx="1">
                  <c:v>keadaan penghidupan</c:v>
                </c:pt>
                <c:pt idx="2">
                  <c:v>rekreasi dan hoby</c:v>
                </c:pt>
                <c:pt idx="3">
                  <c:v>kehidupan sosial dan keaktifan berorganisasi</c:v>
                </c:pt>
                <c:pt idx="4">
                  <c:v>hubungan pribadi</c:v>
                </c:pt>
                <c:pt idx="5">
                  <c:v>pergaulan atau muda mudi</c:v>
                </c:pt>
                <c:pt idx="6">
                  <c:v>kehidupan keluarga</c:v>
                </c:pt>
                <c:pt idx="7">
                  <c:v>masa depan, cita-cita, pendidikan, pekerjaan</c:v>
                </c:pt>
                <c:pt idx="8">
                  <c:v>penyesuaian terhadap kurikulum</c:v>
                </c:pt>
              </c:strCache>
            </c:strRef>
          </c:cat>
          <c:val>
            <c:numRef>
              <c:f>Sheet1!$B$2:$B$10</c:f>
              <c:numCache>
                <c:formatCode>General</c:formatCode>
                <c:ptCount val="9"/>
                <c:pt idx="0">
                  <c:v>13</c:v>
                </c:pt>
                <c:pt idx="1">
                  <c:v>3</c:v>
                </c:pt>
                <c:pt idx="2">
                  <c:v>5</c:v>
                </c:pt>
                <c:pt idx="3">
                  <c:v>5</c:v>
                </c:pt>
                <c:pt idx="4">
                  <c:v>4</c:v>
                </c:pt>
                <c:pt idx="5">
                  <c:v>9</c:v>
                </c:pt>
                <c:pt idx="6">
                  <c:v>3</c:v>
                </c:pt>
                <c:pt idx="7">
                  <c:v>10</c:v>
                </c:pt>
                <c:pt idx="8">
                  <c:v>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4263779527559"/>
          <c:y val="9.9827997004697175E-2"/>
          <c:w val="0.30906955380577428"/>
          <c:h val="0.85282201396295199"/>
        </c:manualLayout>
      </c:layout>
      <c:overlay val="0"/>
      <c:txPr>
        <a:bodyPr/>
        <a:lstStyle/>
        <a:p>
          <a:pPr>
            <a:defRPr>
              <a:solidFill>
                <a:sysClr val="windowText" lastClr="000000"/>
              </a:solidFill>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Gaya</a:t>
            </a:r>
            <a:r>
              <a:rPr lang="en-US" baseline="0"/>
              <a:t> Belajar</a:t>
            </a:r>
            <a:endParaRPr lang="en-US"/>
          </a:p>
        </c:rich>
      </c:tx>
      <c:layout>
        <c:manualLayout>
          <c:xMode val="edge"/>
          <c:yMode val="edge"/>
          <c:x val="0.37912576489898414"/>
          <c:y val="2.5854108956602031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Sheet1!$A$13:$A$15</c:f>
              <c:strCache>
                <c:ptCount val="3"/>
                <c:pt idx="0">
                  <c:v>Visual</c:v>
                </c:pt>
                <c:pt idx="1">
                  <c:v>Auditorial</c:v>
                </c:pt>
                <c:pt idx="2">
                  <c:v>Kinestetik</c:v>
                </c:pt>
              </c:strCache>
            </c:strRef>
          </c:cat>
          <c:val>
            <c:numRef>
              <c:f>Sheet1!$B$13:$B$15</c:f>
              <c:numCache>
                <c:formatCode>General</c:formatCode>
                <c:ptCount val="3"/>
                <c:pt idx="0">
                  <c:v>3</c:v>
                </c:pt>
                <c:pt idx="1">
                  <c:v>4</c:v>
                </c:pt>
                <c:pt idx="2">
                  <c:v>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3669479843555497"/>
          <c:y val="0.29031677399927797"/>
          <c:w val="0.22015853185143305"/>
          <c:h val="0.5926002317396877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Tes</a:t>
            </a:r>
            <a:r>
              <a:rPr lang="en-US" baseline="0"/>
              <a:t> Kecerdasan Majemuk</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Sheet1!$A$17:$A$24</c:f>
              <c:strCache>
                <c:ptCount val="8"/>
                <c:pt idx="0">
                  <c:v>Tes kecerdasan majemuk</c:v>
                </c:pt>
                <c:pt idx="1">
                  <c:v>Kecerdasan Matematika Logis</c:v>
                </c:pt>
                <c:pt idx="2">
                  <c:v>Kecerdasan Spasial</c:v>
                </c:pt>
                <c:pt idx="3">
                  <c:v>Kecerdasan Kinestetik Jasmani</c:v>
                </c:pt>
                <c:pt idx="4">
                  <c:v>Kecerdasan Musikal</c:v>
                </c:pt>
                <c:pt idx="5">
                  <c:v>Kecerdasan Interpersonal</c:v>
                </c:pt>
                <c:pt idx="6">
                  <c:v>Kecerdasan Intrapersonal</c:v>
                </c:pt>
                <c:pt idx="7">
                  <c:v>Kecerdasan Naturalis</c:v>
                </c:pt>
              </c:strCache>
            </c:strRef>
          </c:cat>
          <c:val>
            <c:numRef>
              <c:f>Sheet1!$B$17:$B$24</c:f>
              <c:numCache>
                <c:formatCode>General</c:formatCode>
                <c:ptCount val="8"/>
                <c:pt idx="0">
                  <c:v>5</c:v>
                </c:pt>
                <c:pt idx="1">
                  <c:v>5</c:v>
                </c:pt>
                <c:pt idx="2">
                  <c:v>6</c:v>
                </c:pt>
                <c:pt idx="3">
                  <c:v>4</c:v>
                </c:pt>
                <c:pt idx="4">
                  <c:v>2</c:v>
                </c:pt>
                <c:pt idx="5">
                  <c:v>7</c:v>
                </c:pt>
                <c:pt idx="6">
                  <c:v>1</c:v>
                </c:pt>
                <c:pt idx="7">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188600815142009"/>
          <c:y val="0.27509730753917694"/>
          <c:w val="0.30510586176727911"/>
          <c:h val="0.6752255347942600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6B61-C86B-42D0-856E-DB2360F3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  i  n   10</cp:lastModifiedBy>
  <cp:revision>3</cp:revision>
  <dcterms:created xsi:type="dcterms:W3CDTF">2019-03-15T04:08:00Z</dcterms:created>
  <dcterms:modified xsi:type="dcterms:W3CDTF">2019-03-15T06:35:00Z</dcterms:modified>
</cp:coreProperties>
</file>