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100" w:rsidRPr="000E4939" w:rsidRDefault="00324004">
      <w:pPr>
        <w:spacing w:after="490" w:line="216" w:lineRule="auto"/>
        <w:ind w:left="747" w:right="2359" w:firstLine="0"/>
        <w:jc w:val="left"/>
        <w:rPr>
          <w:lang w:val="en-US"/>
        </w:rPr>
      </w:pPr>
      <w:bookmarkStart w:id="0" w:name="_GoBack"/>
      <w:bookmarkEnd w:id="0"/>
      <w:r>
        <w:rPr>
          <w:noProof/>
        </w:rPr>
        <w:drawing>
          <wp:anchor distT="0" distB="0" distL="114300" distR="114300" simplePos="0" relativeHeight="251658240" behindDoc="0" locked="0" layoutInCell="1" allowOverlap="0">
            <wp:simplePos x="0" y="0"/>
            <wp:positionH relativeFrom="column">
              <wp:posOffset>3876167</wp:posOffset>
            </wp:positionH>
            <wp:positionV relativeFrom="paragraph">
              <wp:posOffset>-163829</wp:posOffset>
            </wp:positionV>
            <wp:extent cx="2861945" cy="590550"/>
            <wp:effectExtent l="0" t="0" r="0" b="0"/>
            <wp:wrapSquare wrapText="bothSides"/>
            <wp:docPr id="169" name="Pictu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7"/>
                    <a:stretch>
                      <a:fillRect/>
                    </a:stretch>
                  </pic:blipFill>
                  <pic:spPr>
                    <a:xfrm>
                      <a:off x="0" y="0"/>
                      <a:ext cx="2861945" cy="590550"/>
                    </a:xfrm>
                    <a:prstGeom prst="rect">
                      <a:avLst/>
                    </a:prstGeom>
                  </pic:spPr>
                </pic:pic>
              </a:graphicData>
            </a:graphic>
          </wp:anchor>
        </w:drawing>
      </w:r>
      <w:r w:rsidRPr="000E4939">
        <w:rPr>
          <w:rFonts w:ascii="Calibri" w:eastAsia="Calibri" w:hAnsi="Calibri" w:cs="Calibri"/>
          <w:sz w:val="17"/>
          <w:lang w:val="en-US"/>
        </w:rPr>
        <w:t xml:space="preserve">IJACT, Volume 3, Issue 2, 2025               ISSN: 2995-5378 </w:t>
      </w:r>
      <w:r w:rsidRPr="000E4939">
        <w:rPr>
          <w:rFonts w:ascii="Calibri" w:eastAsia="Calibri" w:hAnsi="Calibri" w:cs="Calibri"/>
          <w:sz w:val="26"/>
          <w:vertAlign w:val="subscript"/>
          <w:lang w:val="en-US"/>
        </w:rPr>
        <w:t>http://medicaljournals.eu/index.php/IJACT</w:t>
      </w:r>
      <w:r w:rsidRPr="000E4939">
        <w:rPr>
          <w:rFonts w:ascii="Calibri" w:eastAsia="Calibri" w:hAnsi="Calibri" w:cs="Calibri"/>
          <w:i/>
          <w:sz w:val="18"/>
          <w:lang w:val="en-US"/>
        </w:rPr>
        <w:t>International Journal of Alternative and Contemporary Thera</w:t>
      </w:r>
      <w:r w:rsidRPr="000E4939">
        <w:rPr>
          <w:rFonts w:ascii="Calibri" w:eastAsia="Calibri" w:hAnsi="Calibri" w:cs="Calibri"/>
          <w:sz w:val="22"/>
          <w:lang w:val="en-US"/>
        </w:rPr>
        <w:t xml:space="preserve"> </w:t>
      </w:r>
      <w:r w:rsidRPr="000E4939">
        <w:rPr>
          <w:rFonts w:ascii="Calibri" w:eastAsia="Calibri" w:hAnsi="Calibri" w:cs="Calibri"/>
          <w:sz w:val="22"/>
          <w:lang w:val="en-US"/>
        </w:rPr>
        <w:tab/>
      </w:r>
      <w:r w:rsidRPr="000E4939">
        <w:rPr>
          <w:rFonts w:ascii="Calibri" w:eastAsia="Calibri" w:hAnsi="Calibri" w:cs="Calibri"/>
          <w:i/>
          <w:sz w:val="18"/>
          <w:lang w:val="en-US"/>
        </w:rPr>
        <w:t xml:space="preserve">py  </w:t>
      </w:r>
    </w:p>
    <w:p w:rsidR="007B1100" w:rsidRPr="000E4939" w:rsidRDefault="00324004">
      <w:pPr>
        <w:spacing w:after="96" w:line="259" w:lineRule="auto"/>
        <w:ind w:left="202" w:firstLine="0"/>
        <w:jc w:val="center"/>
        <w:rPr>
          <w:lang w:val="en-US"/>
        </w:rPr>
      </w:pPr>
      <w:r w:rsidRPr="000E4939">
        <w:rPr>
          <w:rFonts w:ascii="Arial" w:eastAsia="Arial" w:hAnsi="Arial" w:cs="Arial"/>
          <w:lang w:val="en-US"/>
        </w:rPr>
        <w:t xml:space="preserve"> </w:t>
      </w:r>
    </w:p>
    <w:p w:rsidR="007B1100" w:rsidRPr="000E4939" w:rsidRDefault="00324004">
      <w:pPr>
        <w:spacing w:after="89" w:line="259" w:lineRule="auto"/>
        <w:ind w:left="195" w:firstLine="0"/>
        <w:jc w:val="left"/>
        <w:rPr>
          <w:lang w:val="en-US"/>
        </w:rPr>
      </w:pPr>
      <w:r w:rsidRPr="000E4939">
        <w:rPr>
          <w:b/>
          <w:sz w:val="32"/>
          <w:lang w:val="en-US"/>
        </w:rPr>
        <w:t xml:space="preserve">Health and Well Being of the Population in the Context of Sustainable </w:t>
      </w:r>
    </w:p>
    <w:p w:rsidR="007B1100" w:rsidRPr="000E4939" w:rsidRDefault="00324004">
      <w:pPr>
        <w:spacing w:after="0" w:line="259" w:lineRule="auto"/>
        <w:ind w:left="0" w:right="7" w:firstLine="0"/>
        <w:jc w:val="center"/>
        <w:rPr>
          <w:lang w:val="en-US"/>
        </w:rPr>
      </w:pPr>
      <w:r w:rsidRPr="000E4939">
        <w:rPr>
          <w:b/>
          <w:sz w:val="32"/>
          <w:lang w:val="en-US"/>
        </w:rPr>
        <w:t xml:space="preserve">Development </w:t>
      </w:r>
    </w:p>
    <w:p w:rsidR="007B1100" w:rsidRPr="000E4939" w:rsidRDefault="00324004">
      <w:pPr>
        <w:spacing w:after="67" w:line="259" w:lineRule="auto"/>
        <w:ind w:left="756" w:firstLine="0"/>
        <w:jc w:val="center"/>
        <w:rPr>
          <w:lang w:val="en-US"/>
        </w:rPr>
      </w:pPr>
      <w:r w:rsidRPr="000E4939">
        <w:rPr>
          <w:rFonts w:ascii="Calibri" w:eastAsia="Calibri" w:hAnsi="Calibri" w:cs="Calibri"/>
          <w:b/>
          <w:lang w:val="en-US"/>
        </w:rPr>
        <w:t xml:space="preserve"> </w:t>
      </w:r>
    </w:p>
    <w:p w:rsidR="007B1100" w:rsidRPr="000E4939" w:rsidRDefault="00324004">
      <w:pPr>
        <w:spacing w:after="58" w:line="259" w:lineRule="auto"/>
        <w:ind w:right="5"/>
        <w:jc w:val="center"/>
        <w:rPr>
          <w:lang w:val="en-US"/>
        </w:rPr>
      </w:pPr>
      <w:r w:rsidRPr="000E4939">
        <w:rPr>
          <w:b/>
          <w:lang w:val="en-US"/>
        </w:rPr>
        <w:t xml:space="preserve">Divyanshi Pandey  </w:t>
      </w:r>
    </w:p>
    <w:p w:rsidR="007B1100" w:rsidRPr="000E4939" w:rsidRDefault="00324004">
      <w:pPr>
        <w:spacing w:after="192" w:line="259" w:lineRule="auto"/>
        <w:ind w:right="8"/>
        <w:jc w:val="center"/>
        <w:rPr>
          <w:lang w:val="en-US"/>
        </w:rPr>
      </w:pPr>
      <w:r w:rsidRPr="000E4939">
        <w:rPr>
          <w:i/>
          <w:lang w:val="en-US"/>
        </w:rPr>
        <w:t xml:space="preserve">Samarkand State Medical University Student of International Faculty, 2nd Course </w:t>
      </w:r>
    </w:p>
    <w:p w:rsidR="007B1100" w:rsidRPr="000E4939" w:rsidRDefault="00324004">
      <w:pPr>
        <w:spacing w:after="58" w:line="259" w:lineRule="auto"/>
        <w:ind w:right="5"/>
        <w:jc w:val="center"/>
        <w:rPr>
          <w:lang w:val="en-US"/>
        </w:rPr>
      </w:pPr>
      <w:r w:rsidRPr="000E4939">
        <w:rPr>
          <w:b/>
          <w:lang w:val="en-US"/>
        </w:rPr>
        <w:t xml:space="preserve">Nasimova Sohiba Yaxyayevna  </w:t>
      </w:r>
    </w:p>
    <w:p w:rsidR="007B1100" w:rsidRPr="000E4939" w:rsidRDefault="00324004">
      <w:pPr>
        <w:spacing w:after="24" w:line="259" w:lineRule="auto"/>
        <w:ind w:right="4"/>
        <w:jc w:val="center"/>
        <w:rPr>
          <w:lang w:val="en-US"/>
        </w:rPr>
      </w:pPr>
      <w:r w:rsidRPr="000E4939">
        <w:rPr>
          <w:i/>
          <w:lang w:val="en-US"/>
        </w:rPr>
        <w:t xml:space="preserve">Scientific Supervisor, nasimovasohiba4@gmail.com </w:t>
      </w:r>
    </w:p>
    <w:p w:rsidR="007B1100" w:rsidRPr="000E4939" w:rsidRDefault="00324004">
      <w:pPr>
        <w:spacing w:after="59" w:line="259" w:lineRule="auto"/>
        <w:ind w:left="708" w:firstLine="0"/>
        <w:jc w:val="left"/>
        <w:rPr>
          <w:lang w:val="en-US"/>
        </w:rPr>
      </w:pPr>
      <w:r w:rsidRPr="000E4939">
        <w:rPr>
          <w:b/>
          <w:lang w:val="en-US"/>
        </w:rPr>
        <w:t xml:space="preserve"> </w:t>
      </w:r>
    </w:p>
    <w:p w:rsidR="007B1100" w:rsidRPr="000E4939" w:rsidRDefault="00324004">
      <w:pPr>
        <w:ind w:left="-15" w:firstLine="706"/>
        <w:rPr>
          <w:lang w:val="en-US"/>
        </w:rPr>
      </w:pPr>
      <w:r w:rsidRPr="000E4939">
        <w:rPr>
          <w:b/>
          <w:lang w:val="en-US"/>
        </w:rPr>
        <w:t>Abstract:</w:t>
      </w:r>
      <w:r w:rsidRPr="000E4939">
        <w:rPr>
          <w:lang w:val="en-US"/>
        </w:rPr>
        <w:t xml:space="preserve"> Health and well-</w:t>
      </w:r>
      <w:r w:rsidRPr="000E4939">
        <w:rPr>
          <w:lang w:val="en-US"/>
        </w:rPr>
        <w:t>being are fundamental to a thriving and sustainable society. Health encompasses physical, mental, and social well-being, while well-being reflects quality of life shaped by balanced psychological and physiological states. This paper examines the relationsh</w:t>
      </w:r>
      <w:r w:rsidRPr="000E4939">
        <w:rPr>
          <w:lang w:val="en-US"/>
        </w:rPr>
        <w:t>ip between environmental conditions, economic growth, and social determinants, emphasizing the role of sustainable development in fostering public health. As global challenges such as climate change, urbanization, and resource depletion escalate, the conne</w:t>
      </w:r>
      <w:r w:rsidRPr="000E4939">
        <w:rPr>
          <w:lang w:val="en-US"/>
        </w:rPr>
        <w:t>ction between a healthy population and a resilient environment becomes more evident. Clean air, safe water, and nutritious food are essential in preventing non-communicable diseases like cardiovascular ailments, diabetes, and respiratory disorders. Additio</w:t>
      </w:r>
      <w:r w:rsidRPr="000E4939">
        <w:rPr>
          <w:lang w:val="en-US"/>
        </w:rPr>
        <w:t>nally, socio-economic disparities hinder access to healthcare, exacerbating health inequities. This study highlights the impact of integrated approaches, such as green infrastructure, sustainable agriculture, and community-led microfinance, in advancing bo</w:t>
      </w:r>
      <w:r w:rsidRPr="000E4939">
        <w:rPr>
          <w:lang w:val="en-US"/>
        </w:rPr>
        <w:t>th economic and environmental goals. Aligning with the United Nations Sustainable Development Goals—particularly SDG 3 (good health and well-being) and SDG 11 (sustainable cities and communities)—can drive systemic change and improve health outcomes. Publi</w:t>
      </w:r>
      <w:r w:rsidRPr="000E4939">
        <w:rPr>
          <w:lang w:val="en-US"/>
        </w:rPr>
        <w:t xml:space="preserve">c health measures, including vaccination programs, routine screenings, and equitable healthcare access, are crucial in preventing disease burdens. Ultimately, sustainable development is not just an environmental responsibility but a comprehensive strategy </w:t>
      </w:r>
      <w:r w:rsidRPr="000E4939">
        <w:rPr>
          <w:lang w:val="en-US"/>
        </w:rPr>
        <w:t xml:space="preserve">to enhance health, economic growth, and social equity. A holistic approach to health and sustainability is essential to building a resilient future where human and ecological wellbeing coexist. </w:t>
      </w:r>
    </w:p>
    <w:p w:rsidR="007B1100" w:rsidRPr="000E4939" w:rsidRDefault="00324004">
      <w:pPr>
        <w:spacing w:after="118"/>
        <w:ind w:left="-15" w:firstLine="706"/>
        <w:rPr>
          <w:lang w:val="en-US"/>
        </w:rPr>
      </w:pPr>
      <w:r w:rsidRPr="000E4939">
        <w:rPr>
          <w:b/>
          <w:lang w:val="en-US"/>
        </w:rPr>
        <w:t xml:space="preserve">Keywords: </w:t>
      </w:r>
      <w:r w:rsidRPr="000E4939">
        <w:rPr>
          <w:lang w:val="en-US"/>
        </w:rPr>
        <w:t>SDG, lung cancer, screening programs, sustainable d</w:t>
      </w:r>
      <w:r w:rsidRPr="000E4939">
        <w:rPr>
          <w:lang w:val="en-US"/>
        </w:rPr>
        <w:t>evelopment, SES, COVID- 19 epidemic, Biodiversity, Crucial Adulterants Common malefactors.</w:t>
      </w:r>
      <w:r w:rsidRPr="000E4939">
        <w:rPr>
          <w:rFonts w:ascii="Calibri" w:eastAsia="Calibri" w:hAnsi="Calibri" w:cs="Calibri"/>
          <w:lang w:val="en-US"/>
        </w:rPr>
        <w:t xml:space="preserve"> </w:t>
      </w:r>
    </w:p>
    <w:p w:rsidR="007B1100" w:rsidRPr="000E4939" w:rsidRDefault="00324004">
      <w:pPr>
        <w:spacing w:after="64" w:line="259" w:lineRule="auto"/>
        <w:ind w:left="708" w:firstLine="0"/>
        <w:jc w:val="left"/>
        <w:rPr>
          <w:lang w:val="en-US"/>
        </w:rPr>
      </w:pPr>
      <w:r w:rsidRPr="000E4939">
        <w:rPr>
          <w:rFonts w:ascii="Calibri" w:eastAsia="Calibri" w:hAnsi="Calibri" w:cs="Calibri"/>
          <w:lang w:val="en-US"/>
        </w:rPr>
        <w:t xml:space="preserve"> </w:t>
      </w:r>
    </w:p>
    <w:p w:rsidR="007B1100" w:rsidRPr="000E4939" w:rsidRDefault="00324004">
      <w:pPr>
        <w:pStyle w:val="1"/>
        <w:spacing w:after="138"/>
        <w:ind w:left="-5" w:right="0"/>
        <w:rPr>
          <w:lang w:val="en-US"/>
        </w:rPr>
      </w:pPr>
      <w:r w:rsidRPr="000E4939">
        <w:rPr>
          <w:lang w:val="en-US"/>
        </w:rPr>
        <w:t xml:space="preserve">Introduction  </w:t>
      </w:r>
    </w:p>
    <w:p w:rsidR="007B1100" w:rsidRPr="000E4939" w:rsidRDefault="00324004">
      <w:pPr>
        <w:ind w:left="-5"/>
        <w:rPr>
          <w:lang w:val="en-US"/>
        </w:rPr>
      </w:pPr>
      <w:r w:rsidRPr="000E4939">
        <w:rPr>
          <w:lang w:val="en-US"/>
        </w:rPr>
        <w:t>Sustainable development is inextricably linked to public health and the well-being of populations, as the state of our environment directly affects</w:t>
      </w:r>
      <w:r w:rsidRPr="000E4939">
        <w:rPr>
          <w:lang w:val="en-US"/>
        </w:rPr>
        <w:t xml:space="preserve"> the quality of life we enjoy. At its core, sustainable development emphasizes that clean air, safe water, and nutritious food are not mere luxuries but essential pillars for a healthy society. In this context, the relationship between environmental integr</w:t>
      </w:r>
      <w:r w:rsidRPr="000E4939">
        <w:rPr>
          <w:lang w:val="en-US"/>
        </w:rPr>
        <w:t>ity and human health becomes a fundamental consideration in policy-making and community planning. One of the most pressing challenges we face today is climate change [1]. Global warming is reshaping our world, altering weather patterns, and intensifying ex</w:t>
      </w:r>
      <w:r w:rsidRPr="000E4939">
        <w:rPr>
          <w:lang w:val="en-US"/>
        </w:rPr>
        <w:t>treme events. As temperatures rise and weather becomes more unpredictable, the impacts on food production become increasingly severe. For example, erratic rainfall and prolonged droughts can devastate crop yields, leading to food shortages and escalating m</w:t>
      </w:r>
      <w:r w:rsidRPr="000E4939">
        <w:rPr>
          <w:lang w:val="en-US"/>
        </w:rPr>
        <w:t xml:space="preserve">alnutrition rates in vulnerable </w:t>
      </w:r>
      <w:proofErr w:type="gramStart"/>
      <w:r w:rsidRPr="000E4939">
        <w:rPr>
          <w:lang w:val="en-US"/>
        </w:rPr>
        <w:t>communities[</w:t>
      </w:r>
      <w:proofErr w:type="gramEnd"/>
      <w:r w:rsidRPr="000E4939">
        <w:rPr>
          <w:lang w:val="en-US"/>
        </w:rPr>
        <w:t xml:space="preserve">2]. In addition, climate change can contribute to an increase in the </w:t>
      </w:r>
      <w:r w:rsidRPr="000E4939">
        <w:rPr>
          <w:lang w:val="en-US"/>
        </w:rPr>
        <w:lastRenderedPageBreak/>
        <w:t>frequency of various health complaints, as changing conditions create new challenges for public health infrastructures. Resource depletion is a</w:t>
      </w:r>
      <w:r w:rsidRPr="000E4939">
        <w:rPr>
          <w:lang w:val="en-US"/>
        </w:rPr>
        <w:t>nother critical issue under the lens of sustainable development [3]. Our overuse of natural resources, such as fossil fuels, fresh water, and arable land, results in significant pollution and waste. This degradation of natural resources not only compromise</w:t>
      </w:r>
      <w:r w:rsidRPr="000E4939">
        <w:rPr>
          <w:lang w:val="en-US"/>
        </w:rPr>
        <w:t>s the health of ecosystems but also directly affects human health. Polluted air, laden with harmful particulates and toxic emissions, can trigger respiratory illnesses such as asthma and chronic obstructive pulmonary disease [4]. Similarly, contaminated wa</w:t>
      </w:r>
      <w:r w:rsidRPr="000E4939">
        <w:rPr>
          <w:lang w:val="en-US"/>
        </w:rPr>
        <w:t>ter sources are a major contributor to waterborne diseases, posing severe health risks especially in low-income regions. By prioritizing sustainable development, we can mitigate these adverse effects [5]. Investing in renewable energy, promoting water cons</w:t>
      </w:r>
      <w:r w:rsidRPr="000E4939">
        <w:rPr>
          <w:lang w:val="en-US"/>
        </w:rPr>
        <w:t>ervation, and enforcing stricter pollution controls are essential strategies. Furthermore, integrating environmental sustainability into urban planning and agricultural practices can help ensure that economic progress does not come at the expense of public</w:t>
      </w:r>
      <w:r w:rsidRPr="000E4939">
        <w:rPr>
          <w:lang w:val="en-US"/>
        </w:rPr>
        <w:t xml:space="preserve"> health [6]. Ultimately, sustainable development provides a roadmap for creating resilient communities where both human and environmental health are nurtured and preserved for future generations.  </w:t>
      </w:r>
    </w:p>
    <w:p w:rsidR="007B1100" w:rsidRPr="000E4939" w:rsidRDefault="00324004">
      <w:pPr>
        <w:pStyle w:val="1"/>
        <w:ind w:left="-5" w:right="0"/>
        <w:rPr>
          <w:lang w:val="en-US"/>
        </w:rPr>
      </w:pPr>
      <w:r w:rsidRPr="000E4939">
        <w:rPr>
          <w:lang w:val="en-US"/>
        </w:rPr>
        <w:t xml:space="preserve">Methodology </w:t>
      </w:r>
    </w:p>
    <w:p w:rsidR="007B1100" w:rsidRPr="000E4939" w:rsidRDefault="00324004">
      <w:pPr>
        <w:spacing w:after="107"/>
        <w:ind w:left="-5"/>
        <w:rPr>
          <w:lang w:val="en-US"/>
        </w:rPr>
      </w:pPr>
      <w:r w:rsidRPr="000E4939">
        <w:rPr>
          <w:lang w:val="en-US"/>
        </w:rPr>
        <w:t>Global Challenges: Our world faces several pr</w:t>
      </w:r>
      <w:r w:rsidRPr="000E4939">
        <w:rPr>
          <w:lang w:val="en-US"/>
        </w:rPr>
        <w:t>essing challenges that make these issues indeed more critical. Rapid urbanization, deforestation, and artificial waste contribute to environmental declination, setting the stage for a host of health issues. For case, the rising drift of non-communicable co</w:t>
      </w:r>
      <w:r w:rsidRPr="000E4939">
        <w:rPr>
          <w:lang w:val="en-US"/>
        </w:rPr>
        <w:t xml:space="preserve">nditions — like rotundity and heart complaint — frequently glasses the environmental struggles and inequalities seen around the globe. diving these problems means espousing sustainable strategies that address all these aspects together [7].  </w:t>
      </w:r>
    </w:p>
    <w:p w:rsidR="007B1100" w:rsidRPr="000E4939" w:rsidRDefault="00324004">
      <w:pPr>
        <w:spacing w:after="108"/>
        <w:ind w:left="-5"/>
        <w:rPr>
          <w:lang w:val="en-US"/>
        </w:rPr>
      </w:pPr>
      <w:r w:rsidRPr="000E4939">
        <w:rPr>
          <w:lang w:val="en-US"/>
        </w:rPr>
        <w:t>Economic Grow</w:t>
      </w:r>
      <w:r w:rsidRPr="000E4939">
        <w:rPr>
          <w:lang w:val="en-US"/>
        </w:rPr>
        <w:t>th &amp; Environmental Protection: Economic growth and environmental protection are two sides of the same coin. Growth energies the coffers demanded for essential services like healthcare and education, while securing our natural surroundings ensures these ben</w:t>
      </w:r>
      <w:r w:rsidRPr="000E4939">
        <w:rPr>
          <w:lang w:val="en-US"/>
        </w:rPr>
        <w:t xml:space="preserve">efits last for generations. Take, for illustration, community- driven microfinance enterprise that empower people to start sustainable businesses [8]. These sweats not only stimulate original husbandry but also give the means for individualities to invest </w:t>
      </w:r>
      <w:r w:rsidRPr="000E4939">
        <w:rPr>
          <w:lang w:val="en-US"/>
        </w:rPr>
        <w:t>in better health. also, civic green spaces and sustainable husbandry practices produce healthier, more flexible communities. Integrated Approaches -When we weave together profitable growth, social equity, and environmental health, we produce a robust frame</w:t>
      </w:r>
      <w:r w:rsidRPr="000E4939">
        <w:rPr>
          <w:lang w:val="en-US"/>
        </w:rPr>
        <w:t xml:space="preserve"> for perfecting public health sustainably [9]. The United Nations Sustainable Development Goals (SDGs) offer a perfect illustration of this integrated approach. pretensions similar as SDG 3(icing healthy lives and well- being for all) and SDG 11(making met</w:t>
      </w:r>
      <w:r w:rsidRPr="000E4939">
        <w:rPr>
          <w:lang w:val="en-US"/>
        </w:rPr>
        <w:t>ropolises inclusive, safe, flexible, and sustainable) show how a coordinated trouble can drive meaningful change. By understanding the interplay between these rudiments, we can draft strategies that not only boost health issues but also promote a sustainab</w:t>
      </w:r>
      <w:r w:rsidRPr="000E4939">
        <w:rPr>
          <w:lang w:val="en-US"/>
        </w:rPr>
        <w:t xml:space="preserve">le future for all [10].  </w:t>
      </w:r>
    </w:p>
    <w:p w:rsidR="007B1100" w:rsidRPr="000E4939" w:rsidRDefault="00324004">
      <w:pPr>
        <w:ind w:left="-5"/>
        <w:rPr>
          <w:lang w:val="en-US"/>
        </w:rPr>
      </w:pPr>
      <w:r w:rsidRPr="000E4939">
        <w:rPr>
          <w:lang w:val="en-US"/>
        </w:rPr>
        <w:t>Socio- Economic Status and Access to healthcare: Your socio- profitable status (SES) has a significant impact on your health. Those from lower SES backgrounds frequently face tougher health challenges due to limited access to nutr</w:t>
      </w:r>
      <w:r w:rsidRPr="000E4939">
        <w:rPr>
          <w:lang w:val="en-US"/>
        </w:rPr>
        <w:t>itional food, secure casing, and quality healthcare. Then is how lower SES can affect health Financial Constraints when plutocrat is tight, preventative care and necessary treatments can be out of reach [11]. Living Environment Neighborhoods with smaller c</w:t>
      </w:r>
      <w:r w:rsidRPr="000E4939">
        <w:rPr>
          <w:lang w:val="en-US"/>
        </w:rPr>
        <w:t>offers frequently warrant proper health installations, clean water, and healthy food options. Access to Health Information Limited mindfulness about health issues or available services can further widen the gap in health issues Access to healthcare is a ma</w:t>
      </w:r>
      <w:r w:rsidRPr="000E4939">
        <w:rPr>
          <w:lang w:val="en-US"/>
        </w:rPr>
        <w:t>jor factor in achieving health equity. High costs, a lack of insurance, and geographic walls can delay treatment or help it altogether, leading to Delayed treatment when care is laid over, conditions can worsen, making treatment more complicated and precio</w:t>
      </w:r>
      <w:r w:rsidRPr="000E4939">
        <w:rPr>
          <w:lang w:val="en-US"/>
        </w:rPr>
        <w:t>us [12]. Preventable conditions Without timely intervention, ails like diabetes and hypertension can come much more current.</w:t>
      </w:r>
      <w:r w:rsidRPr="000E4939">
        <w:rPr>
          <w:b/>
          <w:color w:val="4F81BD"/>
          <w:lang w:val="en-US"/>
        </w:rPr>
        <w:t xml:space="preserve">  </w:t>
      </w:r>
    </w:p>
    <w:p w:rsidR="007B1100" w:rsidRPr="000E4939" w:rsidRDefault="00324004">
      <w:pPr>
        <w:pStyle w:val="1"/>
        <w:ind w:left="-5" w:right="0"/>
        <w:rPr>
          <w:lang w:val="en-US"/>
        </w:rPr>
      </w:pPr>
      <w:r w:rsidRPr="000E4939">
        <w:rPr>
          <w:lang w:val="en-US"/>
        </w:rPr>
        <w:lastRenderedPageBreak/>
        <w:t xml:space="preserve">Result </w:t>
      </w:r>
    </w:p>
    <w:p w:rsidR="007B1100" w:rsidRPr="000E4939" w:rsidRDefault="00324004">
      <w:pPr>
        <w:spacing w:after="113"/>
        <w:ind w:left="-5"/>
        <w:rPr>
          <w:lang w:val="en-US"/>
        </w:rPr>
      </w:pPr>
      <w:r w:rsidRPr="000E4939">
        <w:rPr>
          <w:lang w:val="en-US"/>
        </w:rPr>
        <w:t>Sustainable Development pretensions (SDGs): The United Nations Sustainable Development Goals give a design for diving these health difference by promoting fair access to healthcare and creating surroundings that support well- being. crucial pretensions inc</w:t>
      </w:r>
      <w:r w:rsidRPr="000E4939">
        <w:rPr>
          <w:lang w:val="en-US"/>
        </w:rPr>
        <w:t xml:space="preserve">lude  </w:t>
      </w:r>
    </w:p>
    <w:p w:rsidR="007B1100" w:rsidRPr="000E4939" w:rsidRDefault="00324004">
      <w:pPr>
        <w:numPr>
          <w:ilvl w:val="0"/>
          <w:numId w:val="1"/>
        </w:numPr>
        <w:spacing w:after="110"/>
        <w:ind w:hanging="360"/>
        <w:rPr>
          <w:lang w:val="en-US"/>
        </w:rPr>
      </w:pPr>
      <w:r w:rsidRPr="000E4939">
        <w:rPr>
          <w:lang w:val="en-US"/>
        </w:rPr>
        <w:t xml:space="preserve">SDG 3 ensure healthy lives and promote well- being for all at all periods.  </w:t>
      </w:r>
    </w:p>
    <w:p w:rsidR="007B1100" w:rsidRPr="000E4939" w:rsidRDefault="00324004">
      <w:pPr>
        <w:numPr>
          <w:ilvl w:val="0"/>
          <w:numId w:val="1"/>
        </w:numPr>
        <w:spacing w:after="110"/>
        <w:ind w:hanging="360"/>
        <w:rPr>
          <w:lang w:val="en-US"/>
        </w:rPr>
      </w:pPr>
      <w:r w:rsidRPr="000E4939">
        <w:rPr>
          <w:lang w:val="en-US"/>
        </w:rPr>
        <w:t xml:space="preserve">SDG 10 Reduce inequality within and among countries.  </w:t>
      </w:r>
    </w:p>
    <w:p w:rsidR="007B1100" w:rsidRPr="000E4939" w:rsidRDefault="00324004">
      <w:pPr>
        <w:numPr>
          <w:ilvl w:val="0"/>
          <w:numId w:val="1"/>
        </w:numPr>
        <w:ind w:hanging="360"/>
        <w:rPr>
          <w:lang w:val="en-US"/>
        </w:rPr>
      </w:pPr>
      <w:r w:rsidRPr="000E4939">
        <w:rPr>
          <w:lang w:val="en-US"/>
        </w:rPr>
        <w:t xml:space="preserve">SDG 4 insure inclusive and indifferent quality education for all [13].  </w:t>
      </w:r>
    </w:p>
    <w:p w:rsidR="007B1100" w:rsidRPr="000E4939" w:rsidRDefault="00324004">
      <w:pPr>
        <w:ind w:left="-5"/>
        <w:rPr>
          <w:lang w:val="en-US"/>
        </w:rPr>
      </w:pPr>
      <w:r w:rsidRPr="000E4939">
        <w:rPr>
          <w:lang w:val="en-US"/>
        </w:rPr>
        <w:t>By addressing these connected challenges, th</w:t>
      </w:r>
      <w:r w:rsidRPr="000E4939">
        <w:rPr>
          <w:lang w:val="en-US"/>
        </w:rPr>
        <w:t>e SDGs push for systemic changes that ameliorate health issues, particularly for those who have been left before. It’s a memorial that sustainable development is nt only about conserving coffers but also about uplifting communities. Air Quality affecting p</w:t>
      </w:r>
      <w:r w:rsidRPr="000E4939">
        <w:rPr>
          <w:lang w:val="en-US"/>
        </w:rPr>
        <w:t>opulation. Air quality is a pressing issue that affects millions of lives. The World Health Organization (WHO) estimates that air pollution causes about 7 million unseasonable deaths annually, largely due to respiratory and cardiovascular conditions [13].</w:t>
      </w:r>
      <w:r w:rsidRPr="000E4939">
        <w:rPr>
          <w:b/>
          <w:lang w:val="en-US"/>
        </w:rPr>
        <w:t xml:space="preserve"> </w:t>
      </w:r>
      <w:r w:rsidRPr="000E4939">
        <w:rPr>
          <w:lang w:val="en-US"/>
        </w:rPr>
        <w:t xml:space="preserve">Crucial Adulterants Common malefactors include particulate matter, nitrogen dioxide, and sulfur dioxide, frequently released from vehicles, manufactories, and indeed burning biomass. Health issues Exposure to these adulterants can spark. Asthma especially </w:t>
      </w:r>
      <w:r w:rsidRPr="000E4939">
        <w:rPr>
          <w:lang w:val="en-US"/>
        </w:rPr>
        <w:t>in children, air pollution can worsen asthma symptoms and detector attacks [14]. Lung Cancer- nonstop exposure to dangerous patches increases the threat of developing lung cancer. Cardiovascular conditions -Adulterants can beget habitual inflammation and d</w:t>
      </w:r>
      <w:r w:rsidRPr="000E4939">
        <w:rPr>
          <w:lang w:val="en-US"/>
        </w:rPr>
        <w:t>amage blood vessels, leading to heart attacks and strokes. Water Sanitation and Health</w:t>
      </w:r>
      <w:r w:rsidRPr="000E4939">
        <w:rPr>
          <w:b/>
          <w:lang w:val="en-US"/>
        </w:rPr>
        <w:t>.</w:t>
      </w:r>
      <w:r w:rsidRPr="000E4939">
        <w:rPr>
          <w:lang w:val="en-US"/>
        </w:rPr>
        <w:t xml:space="preserve"> Access to clean water and proper sanitation is pivotal for maintaining good health. According to the UN Water report, around 2 billion people still warrant safe drinkin</w:t>
      </w:r>
      <w:r w:rsidRPr="000E4939">
        <w:rPr>
          <w:lang w:val="en-US"/>
        </w:rPr>
        <w:t xml:space="preserve">g water, leading to severe health pitfalls [15]. </w:t>
      </w:r>
    </w:p>
    <w:p w:rsidR="007B1100" w:rsidRPr="000E4939" w:rsidRDefault="00324004">
      <w:pPr>
        <w:pStyle w:val="1"/>
        <w:ind w:left="-5" w:right="0"/>
        <w:rPr>
          <w:lang w:val="en-US"/>
        </w:rPr>
      </w:pPr>
      <w:r w:rsidRPr="000E4939">
        <w:rPr>
          <w:lang w:val="en-US"/>
        </w:rPr>
        <w:t xml:space="preserve">Discussion  </w:t>
      </w:r>
    </w:p>
    <w:p w:rsidR="007B1100" w:rsidRPr="000E4939" w:rsidRDefault="00324004">
      <w:pPr>
        <w:spacing w:after="109"/>
        <w:ind w:left="-5"/>
        <w:rPr>
          <w:lang w:val="en-US"/>
        </w:rPr>
      </w:pPr>
      <w:r w:rsidRPr="000E4939">
        <w:rPr>
          <w:lang w:val="en-US"/>
        </w:rPr>
        <w:t>Waterborne conditions defiled water can spread ails like cholera, dysentery, and typhoid fever. Advanced water quality could help roughly 500,000 deaths every time. Sanitation shy sanitation can lead to malnutrition and suppressed growth in children, makin</w:t>
      </w:r>
      <w:r w:rsidRPr="000E4939">
        <w:rPr>
          <w:lang w:val="en-US"/>
        </w:rPr>
        <w:t xml:space="preserve">g investments in water structure and sanitation vital [16]. Biodiversity linking Public Health. Biodiversity is not just about beautiful geographies it’s also a crucial player in maintaining our health. Medicinal coffers numerous drugs come from shops and </w:t>
      </w:r>
      <w:r w:rsidRPr="000E4939">
        <w:rPr>
          <w:lang w:val="en-US"/>
        </w:rPr>
        <w:t>creatures. Losing biodiversity could hamper unborn medical improvements. Ecosystem Services Natural ecosystems give essential services, similar as crop pollination, water filtration, and climate regulation, all of which are critical for food security and o</w:t>
      </w:r>
      <w:r w:rsidRPr="000E4939">
        <w:rPr>
          <w:lang w:val="en-US"/>
        </w:rPr>
        <w:t>verall health. also, the loss of biodiversity can lead to increased relations between humans and wildlife, heightening the threat of zoonotic conditions — an assignment stressed by the COVID- 19 epidemic [17]. Sustainable Practices to Mitigate Effects. The</w:t>
      </w:r>
      <w:r w:rsidRPr="000E4939">
        <w:rPr>
          <w:lang w:val="en-US"/>
        </w:rPr>
        <w:t xml:space="preserve">re are several sustainable practices we can adopt to combat environmental impacts on health: </w:t>
      </w:r>
    </w:p>
    <w:p w:rsidR="007B1100" w:rsidRPr="000E4939" w:rsidRDefault="00324004">
      <w:pPr>
        <w:spacing w:after="104"/>
        <w:ind w:left="-5"/>
        <w:rPr>
          <w:lang w:val="en-US"/>
        </w:rPr>
      </w:pPr>
      <w:r w:rsidRPr="000E4939">
        <w:rPr>
          <w:lang w:val="en-US"/>
        </w:rPr>
        <w:t xml:space="preserve">Reducing Emissions: Shifting to renewable energy sources like solar and wind power can significantly cut down air pollution. </w:t>
      </w:r>
    </w:p>
    <w:p w:rsidR="007B1100" w:rsidRPr="000E4939" w:rsidRDefault="00324004">
      <w:pPr>
        <w:spacing w:after="104"/>
        <w:ind w:left="-5"/>
        <w:rPr>
          <w:lang w:val="en-US"/>
        </w:rPr>
      </w:pPr>
      <w:r w:rsidRPr="000E4939">
        <w:rPr>
          <w:lang w:val="en-US"/>
        </w:rPr>
        <w:t>Investing in Water Infrastructure: E</w:t>
      </w:r>
      <w:r w:rsidRPr="000E4939">
        <w:rPr>
          <w:lang w:val="en-US"/>
        </w:rPr>
        <w:t xml:space="preserve">nhancing filtration systems and promoting water conservation can lead to better water quality and availability [18]. </w:t>
      </w:r>
    </w:p>
    <w:p w:rsidR="007B1100" w:rsidRPr="000E4939" w:rsidRDefault="00324004">
      <w:pPr>
        <w:spacing w:after="108"/>
        <w:ind w:left="-5"/>
        <w:rPr>
          <w:lang w:val="en-US"/>
        </w:rPr>
      </w:pPr>
      <w:r w:rsidRPr="000E4939">
        <w:rPr>
          <w:lang w:val="en-US"/>
        </w:rPr>
        <w:t>Conservation Efforts: Protecting natural ecosystems and promoting biodiversity are essential for preserving the services that our health d</w:t>
      </w:r>
      <w:r w:rsidRPr="000E4939">
        <w:rPr>
          <w:lang w:val="en-US"/>
        </w:rPr>
        <w:t xml:space="preserve">epends on. Role of Public Health Initiatives. Public health initiatives are the backbone of community health, and several strategies can make a real difference [19].  </w:t>
      </w:r>
    </w:p>
    <w:p w:rsidR="007B1100" w:rsidRPr="000E4939" w:rsidRDefault="00324004">
      <w:pPr>
        <w:spacing w:after="104"/>
        <w:ind w:left="-5"/>
        <w:rPr>
          <w:lang w:val="en-US"/>
        </w:rPr>
      </w:pPr>
      <w:r w:rsidRPr="000E4939">
        <w:rPr>
          <w:lang w:val="en-US"/>
        </w:rPr>
        <w:t>Screening Programs: Regular health screenings for conditions like diabetes and hypertens</w:t>
      </w:r>
      <w:r w:rsidRPr="000E4939">
        <w:rPr>
          <w:lang w:val="en-US"/>
        </w:rPr>
        <w:t xml:space="preserve">ion can catch issues early, allowing for timely treatment. </w:t>
      </w:r>
    </w:p>
    <w:p w:rsidR="007B1100" w:rsidRPr="000E4939" w:rsidRDefault="00324004">
      <w:pPr>
        <w:spacing w:after="104"/>
        <w:ind w:left="-5"/>
        <w:rPr>
          <w:lang w:val="en-US"/>
        </w:rPr>
      </w:pPr>
      <w:r w:rsidRPr="000E4939">
        <w:rPr>
          <w:lang w:val="en-US"/>
        </w:rPr>
        <w:t xml:space="preserve">Vaccination Drives: Keeping up with vaccinations is a proven way to bolster community health and prevent the spread of communicable diseases. </w:t>
      </w:r>
    </w:p>
    <w:p w:rsidR="007B1100" w:rsidRPr="000E4939" w:rsidRDefault="00324004">
      <w:pPr>
        <w:spacing w:after="108"/>
        <w:ind w:left="-5"/>
        <w:rPr>
          <w:lang w:val="en-US"/>
        </w:rPr>
      </w:pPr>
      <w:r w:rsidRPr="000E4939">
        <w:rPr>
          <w:lang w:val="en-US"/>
        </w:rPr>
        <w:lastRenderedPageBreak/>
        <w:t>Health Services Accessibility: Expanding access to cl</w:t>
      </w:r>
      <w:r w:rsidRPr="000E4939">
        <w:rPr>
          <w:lang w:val="en-US"/>
        </w:rPr>
        <w:t xml:space="preserve">inics and mobile health units ensures that everyone, regardless of their location, receives the care they need [20]. </w:t>
      </w:r>
    </w:p>
    <w:p w:rsidR="007B1100" w:rsidRPr="000E4939" w:rsidRDefault="00324004">
      <w:pPr>
        <w:pStyle w:val="1"/>
        <w:ind w:left="-5" w:right="0"/>
        <w:rPr>
          <w:lang w:val="en-US"/>
        </w:rPr>
      </w:pPr>
      <w:r w:rsidRPr="000E4939">
        <w:rPr>
          <w:lang w:val="en-US"/>
        </w:rPr>
        <w:t xml:space="preserve">Conclusion  </w:t>
      </w:r>
    </w:p>
    <w:p w:rsidR="007B1100" w:rsidRPr="000E4939" w:rsidRDefault="00324004">
      <w:pPr>
        <w:ind w:left="-5"/>
        <w:rPr>
          <w:lang w:val="en-US"/>
        </w:rPr>
      </w:pPr>
      <w:r w:rsidRPr="000E4939">
        <w:rPr>
          <w:lang w:val="en-US"/>
        </w:rPr>
        <w:t xml:space="preserve">To wrap it up, the connection between health and sustainable development is undeniable. Improving population health goes far </w:t>
      </w:r>
      <w:r w:rsidRPr="000E4939">
        <w:rPr>
          <w:lang w:val="en-US"/>
        </w:rPr>
        <w:t>beyond simply providing medical services—it involves a holistic approach that marries economic growth, social inclusion, and environmental stewardship. Whether it’s addressing air and water quality issues or bridging the gaps created by socio-economic disp</w:t>
      </w:r>
      <w:r w:rsidRPr="000E4939">
        <w:rPr>
          <w:lang w:val="en-US"/>
        </w:rPr>
        <w:t xml:space="preserve">arities, every action we take today shapes a healthier, more sustainable future. As we look ahead, embracing this interconnected vision is key to nurturing both our planet and ourselves for generations to come. </w:t>
      </w:r>
    </w:p>
    <w:p w:rsidR="007B1100" w:rsidRPr="000E4939" w:rsidRDefault="00324004">
      <w:pPr>
        <w:ind w:left="-5"/>
        <w:rPr>
          <w:lang w:val="en-US"/>
        </w:rPr>
      </w:pPr>
      <w:r w:rsidRPr="000E4939">
        <w:rPr>
          <w:lang w:val="en-US"/>
        </w:rPr>
        <w:t>Hence integrating the health into sustainabl</w:t>
      </w:r>
      <w:r w:rsidRPr="000E4939">
        <w:rPr>
          <w:lang w:val="en-US"/>
        </w:rPr>
        <w:t xml:space="preserve">e developmental policies is essential for building up resilient societies and betterment of their well being. By prioritizing primitive </w:t>
      </w:r>
      <w:proofErr w:type="gramStart"/>
      <w:r w:rsidRPr="000E4939">
        <w:rPr>
          <w:lang w:val="en-US"/>
        </w:rPr>
        <w:t>healthcare ,</w:t>
      </w:r>
      <w:proofErr w:type="gramEnd"/>
      <w:r w:rsidRPr="000E4939">
        <w:rPr>
          <w:lang w:val="en-US"/>
        </w:rPr>
        <w:t xml:space="preserve"> strengthening the systems within and addressing the social health determinants we can create a future where</w:t>
      </w:r>
      <w:r w:rsidRPr="000E4939">
        <w:rPr>
          <w:lang w:val="en-US"/>
        </w:rPr>
        <w:t xml:space="preserve"> healthcare is easily accessible to all. </w:t>
      </w:r>
    </w:p>
    <w:p w:rsidR="007B1100" w:rsidRDefault="00324004">
      <w:pPr>
        <w:spacing w:after="140" w:line="259" w:lineRule="auto"/>
        <w:ind w:left="-5"/>
        <w:jc w:val="left"/>
      </w:pPr>
      <w:proofErr w:type="spellStart"/>
      <w:r>
        <w:rPr>
          <w:b/>
        </w:rPr>
        <w:t>References</w:t>
      </w:r>
      <w:proofErr w:type="spellEnd"/>
      <w:r>
        <w:rPr>
          <w:b/>
        </w:rPr>
        <w:t xml:space="preserve">: </w:t>
      </w:r>
    </w:p>
    <w:p w:rsidR="007B1100" w:rsidRDefault="00324004">
      <w:pPr>
        <w:numPr>
          <w:ilvl w:val="0"/>
          <w:numId w:val="2"/>
        </w:numPr>
        <w:ind w:hanging="360"/>
      </w:pPr>
      <w:r>
        <w:t xml:space="preserve">F. U. </w:t>
      </w:r>
      <w:proofErr w:type="spellStart"/>
      <w:r>
        <w:t>Fayzullaev</w:t>
      </w:r>
      <w:proofErr w:type="spellEnd"/>
      <w:r>
        <w:t>, ‘</w:t>
      </w:r>
      <w:proofErr w:type="spellStart"/>
      <w:r>
        <w:t>Xorijiy</w:t>
      </w:r>
      <w:proofErr w:type="spellEnd"/>
      <w:r>
        <w:t xml:space="preserve"> </w:t>
      </w:r>
      <w:proofErr w:type="spellStart"/>
      <w:r>
        <w:t>tilni</w:t>
      </w:r>
      <w:proofErr w:type="spellEnd"/>
      <w:r>
        <w:t xml:space="preserve"> </w:t>
      </w:r>
      <w:proofErr w:type="spellStart"/>
      <w:r>
        <w:t>oʻrganishda</w:t>
      </w:r>
      <w:proofErr w:type="spellEnd"/>
      <w:r>
        <w:t xml:space="preserve"> </w:t>
      </w:r>
      <w:proofErr w:type="spellStart"/>
      <w:r>
        <w:t>tanqidiy</w:t>
      </w:r>
      <w:proofErr w:type="spellEnd"/>
      <w:r>
        <w:t xml:space="preserve"> </w:t>
      </w:r>
      <w:proofErr w:type="spellStart"/>
      <w:r>
        <w:t>fikrlashning</w:t>
      </w:r>
      <w:proofErr w:type="spellEnd"/>
      <w:r>
        <w:t xml:space="preserve"> </w:t>
      </w:r>
      <w:proofErr w:type="spellStart"/>
      <w:r>
        <w:t>roʻli</w:t>
      </w:r>
      <w:proofErr w:type="spellEnd"/>
      <w:r>
        <w:t xml:space="preserve">’, </w:t>
      </w:r>
      <w:proofErr w:type="spellStart"/>
      <w:r>
        <w:t>Miasto</w:t>
      </w:r>
      <w:proofErr w:type="spellEnd"/>
      <w:r>
        <w:t xml:space="preserve"> </w:t>
      </w:r>
      <w:proofErr w:type="spellStart"/>
      <w:r>
        <w:t>Przyszłości</w:t>
      </w:r>
      <w:proofErr w:type="spellEnd"/>
      <w:r>
        <w:t xml:space="preserve">, </w:t>
      </w:r>
      <w:proofErr w:type="spellStart"/>
      <w:r>
        <w:t>vol</w:t>
      </w:r>
      <w:proofErr w:type="spellEnd"/>
      <w:r>
        <w:t xml:space="preserve">. 53, </w:t>
      </w:r>
      <w:proofErr w:type="spellStart"/>
      <w:r>
        <w:t>pp</w:t>
      </w:r>
      <w:proofErr w:type="spellEnd"/>
      <w:r>
        <w:t xml:space="preserve">. 1510–1513, 2024. </w:t>
      </w:r>
    </w:p>
    <w:p w:rsidR="007B1100" w:rsidRPr="000E4939" w:rsidRDefault="00324004">
      <w:pPr>
        <w:numPr>
          <w:ilvl w:val="0"/>
          <w:numId w:val="2"/>
        </w:numPr>
        <w:ind w:hanging="360"/>
        <w:rPr>
          <w:lang w:val="en-US"/>
        </w:rPr>
      </w:pPr>
      <w:r w:rsidRPr="000E4939">
        <w:rPr>
          <w:lang w:val="en-US"/>
        </w:rPr>
        <w:t>N. S. Yaxyayevna, ‘Language Teaching Methods’, Miasto Przyszłości, vol. 45,</w:t>
      </w:r>
      <w:r w:rsidRPr="000E4939">
        <w:rPr>
          <w:lang w:val="en-US"/>
        </w:rPr>
        <w:t xml:space="preserve"> pp. 897–901, 2024. </w:t>
      </w:r>
    </w:p>
    <w:p w:rsidR="007B1100" w:rsidRPr="000E4939" w:rsidRDefault="00324004">
      <w:pPr>
        <w:numPr>
          <w:ilvl w:val="0"/>
          <w:numId w:val="2"/>
        </w:numPr>
        <w:ind w:hanging="360"/>
        <w:rPr>
          <w:lang w:val="en-US"/>
        </w:rPr>
      </w:pPr>
      <w:r w:rsidRPr="000E4939">
        <w:rPr>
          <w:lang w:val="en-US"/>
        </w:rPr>
        <w:t xml:space="preserve">N. S. Yakhyaevna and S. Sabu, ‘The most important prescription abbreviation’, Journal of Universal Science Research, vol. 2, no. 1, pp. 444–451, 2024. </w:t>
      </w:r>
    </w:p>
    <w:p w:rsidR="007B1100" w:rsidRPr="000E4939" w:rsidRDefault="00324004">
      <w:pPr>
        <w:numPr>
          <w:ilvl w:val="0"/>
          <w:numId w:val="2"/>
        </w:numPr>
        <w:ind w:hanging="360"/>
        <w:rPr>
          <w:lang w:val="en-US"/>
        </w:rPr>
      </w:pPr>
      <w:r w:rsidRPr="000E4939">
        <w:rPr>
          <w:lang w:val="en-US"/>
        </w:rPr>
        <w:t>A. Z. Shodikulova, ‘The analysis of the phenomenon of metonymy’, Science and Educat</w:t>
      </w:r>
      <w:r w:rsidRPr="000E4939">
        <w:rPr>
          <w:lang w:val="en-US"/>
        </w:rPr>
        <w:t xml:space="preserve">ion, vol. 3, no. 12, pp. 1136–1140, 2022. </w:t>
      </w:r>
    </w:p>
    <w:p w:rsidR="007B1100" w:rsidRPr="000E4939" w:rsidRDefault="00324004">
      <w:pPr>
        <w:numPr>
          <w:ilvl w:val="0"/>
          <w:numId w:val="2"/>
        </w:numPr>
        <w:ind w:hanging="360"/>
        <w:rPr>
          <w:lang w:val="en-US"/>
        </w:rPr>
      </w:pPr>
      <w:r w:rsidRPr="000E4939">
        <w:rPr>
          <w:lang w:val="en-US"/>
        </w:rPr>
        <w:t>F. Fayzullaev, ‘Development Of Speech Activity In Students’, in Conferences, Feb. 2021. 6.</w:t>
      </w:r>
      <w:r w:rsidRPr="000E4939">
        <w:rPr>
          <w:rFonts w:ascii="Arial" w:eastAsia="Arial" w:hAnsi="Arial" w:cs="Arial"/>
          <w:lang w:val="en-US"/>
        </w:rPr>
        <w:t xml:space="preserve"> </w:t>
      </w:r>
      <w:r w:rsidRPr="000E4939">
        <w:rPr>
          <w:lang w:val="en-US"/>
        </w:rPr>
        <w:t xml:space="preserve">N. S. Yaxyayevna and M. A. Alam, ‘Introduction </w:t>
      </w:r>
      <w:proofErr w:type="gramStart"/>
      <w:r w:rsidRPr="000E4939">
        <w:rPr>
          <w:lang w:val="en-US"/>
        </w:rPr>
        <w:t>Into</w:t>
      </w:r>
      <w:proofErr w:type="gramEnd"/>
      <w:r w:rsidRPr="000E4939">
        <w:rPr>
          <w:lang w:val="en-US"/>
        </w:rPr>
        <w:t xml:space="preserve"> Anatomical Histological Terminology. Noun, Grammar Categories Of Nouns</w:t>
      </w:r>
      <w:r w:rsidRPr="000E4939">
        <w:rPr>
          <w:lang w:val="en-US"/>
        </w:rPr>
        <w:t xml:space="preserve">. Determinations Of Gender, Stem, Vocabulary Forms’, in Yangi O’zbekistonda Tabiiy va Ijtimoiy-gumanitar fanlar respublika ilmiy amaliy konferensiyasi, 2023, pp. 107–111. </w:t>
      </w:r>
    </w:p>
    <w:p w:rsidR="007B1100" w:rsidRPr="000E4939" w:rsidRDefault="00324004">
      <w:pPr>
        <w:numPr>
          <w:ilvl w:val="0"/>
          <w:numId w:val="3"/>
        </w:numPr>
        <w:ind w:hanging="360"/>
        <w:rPr>
          <w:lang w:val="en-US"/>
        </w:rPr>
      </w:pPr>
      <w:r w:rsidRPr="000E4939">
        <w:rPr>
          <w:lang w:val="en-US"/>
        </w:rPr>
        <w:t xml:space="preserve">S. Nasimova, ‘Psychological Aspects </w:t>
      </w:r>
      <w:proofErr w:type="gramStart"/>
      <w:r w:rsidRPr="000E4939">
        <w:rPr>
          <w:lang w:val="en-US"/>
        </w:rPr>
        <w:t>Of</w:t>
      </w:r>
      <w:proofErr w:type="gramEnd"/>
      <w:r w:rsidRPr="000E4939">
        <w:rPr>
          <w:lang w:val="en-US"/>
        </w:rPr>
        <w:t xml:space="preserve"> Learning Foreign Language As The Second Langu</w:t>
      </w:r>
      <w:r w:rsidRPr="000E4939">
        <w:rPr>
          <w:lang w:val="en-US"/>
        </w:rPr>
        <w:t xml:space="preserve">age’, International Bulletin of Applied Science and Technology, vol. 3, no. 11, pp. 203–207, 2023. </w:t>
      </w:r>
    </w:p>
    <w:p w:rsidR="007B1100" w:rsidRPr="000E4939" w:rsidRDefault="00324004">
      <w:pPr>
        <w:numPr>
          <w:ilvl w:val="0"/>
          <w:numId w:val="3"/>
        </w:numPr>
        <w:ind w:hanging="360"/>
        <w:rPr>
          <w:lang w:val="en-US"/>
        </w:rPr>
      </w:pPr>
      <w:r w:rsidRPr="000E4939">
        <w:rPr>
          <w:lang w:val="en-US"/>
        </w:rPr>
        <w:t xml:space="preserve">S. Nasimova, ‘Online Teaching Of English For Medical Purposes’, Central Asian Journal of Interdiciplinary and Management Studies, vol. 1, no. 8, pp. 84–87, </w:t>
      </w:r>
      <w:r w:rsidRPr="000E4939">
        <w:rPr>
          <w:lang w:val="en-US"/>
        </w:rPr>
        <w:t xml:space="preserve">2024. </w:t>
      </w:r>
    </w:p>
    <w:p w:rsidR="007B1100" w:rsidRDefault="00324004">
      <w:pPr>
        <w:numPr>
          <w:ilvl w:val="0"/>
          <w:numId w:val="3"/>
        </w:numPr>
        <w:ind w:hanging="360"/>
      </w:pPr>
      <w:r w:rsidRPr="000E4939">
        <w:rPr>
          <w:lang w:val="en-US"/>
        </w:rPr>
        <w:t xml:space="preserve">S. Yorova and S. Nasimova, Electronic collected materials of XI junior researchers’ conference 2019: Linguistics, literature, philology 7 UDC 372.881 - The ways of teaching languages at medical institutions. </w:t>
      </w:r>
      <w:proofErr w:type="spellStart"/>
      <w:r>
        <w:t>Samarkand</w:t>
      </w:r>
      <w:proofErr w:type="spellEnd"/>
      <w:r>
        <w:t xml:space="preserve"> </w:t>
      </w:r>
      <w:proofErr w:type="spellStart"/>
      <w:r>
        <w:t>State</w:t>
      </w:r>
      <w:proofErr w:type="spellEnd"/>
      <w:r>
        <w:t xml:space="preserve"> </w:t>
      </w:r>
      <w:proofErr w:type="spellStart"/>
      <w:r>
        <w:t>Medical</w:t>
      </w:r>
      <w:proofErr w:type="spellEnd"/>
      <w:r>
        <w:t xml:space="preserve"> </w:t>
      </w:r>
      <w:proofErr w:type="spellStart"/>
      <w:r>
        <w:t>Institute</w:t>
      </w:r>
      <w:proofErr w:type="spellEnd"/>
      <w:r>
        <w:t xml:space="preserve">, 2019. </w:t>
      </w:r>
    </w:p>
    <w:p w:rsidR="007B1100" w:rsidRPr="000E4939" w:rsidRDefault="00324004">
      <w:pPr>
        <w:numPr>
          <w:ilvl w:val="0"/>
          <w:numId w:val="3"/>
        </w:numPr>
        <w:ind w:hanging="360"/>
        <w:rPr>
          <w:lang w:val="en-US"/>
        </w:rPr>
      </w:pPr>
      <w:r w:rsidRPr="000E4939">
        <w:rPr>
          <w:lang w:val="en-US"/>
        </w:rPr>
        <w:t xml:space="preserve">I. Davronbek, ‘Media Maydonidagi Kommunikatsiya’, Ijtimoiy Fanlarda Innovasiya Onlayn Ilmiy Jurnali, vol. 4, no. 5, pp. 45–48, 2024. </w:t>
      </w:r>
    </w:p>
    <w:p w:rsidR="007B1100" w:rsidRPr="000E4939" w:rsidRDefault="00324004">
      <w:pPr>
        <w:numPr>
          <w:ilvl w:val="0"/>
          <w:numId w:val="3"/>
        </w:numPr>
        <w:ind w:hanging="360"/>
        <w:rPr>
          <w:lang w:val="en-US"/>
        </w:rPr>
      </w:pPr>
      <w:r w:rsidRPr="000E4939">
        <w:rPr>
          <w:lang w:val="en-US"/>
        </w:rPr>
        <w:t>Z. M. Maxmudov, ‘Retsept yozishda duch kelinadigan ayrim muammolarning qonuniy yechimi va amalda qo’llash haqida ba’zi mu</w:t>
      </w:r>
      <w:r w:rsidRPr="000E4939">
        <w:rPr>
          <w:lang w:val="en-US"/>
        </w:rPr>
        <w:t xml:space="preserve">lohazalar’, O’zbekistonda ilmiy-amaliy tadqiqotlar, 2024. </w:t>
      </w:r>
    </w:p>
    <w:p w:rsidR="007B1100" w:rsidRPr="000E4939" w:rsidRDefault="00324004">
      <w:pPr>
        <w:numPr>
          <w:ilvl w:val="0"/>
          <w:numId w:val="3"/>
        </w:numPr>
        <w:spacing w:after="113"/>
        <w:ind w:hanging="360"/>
        <w:rPr>
          <w:lang w:val="en-US"/>
        </w:rPr>
      </w:pPr>
      <w:r w:rsidRPr="000E4939">
        <w:rPr>
          <w:lang w:val="en-US"/>
        </w:rPr>
        <w:t xml:space="preserve">S. Y. Nasimova, ‘History of Medicine’, American Journal of Bioscience and Clinical Integrity, vol. 1, no. 9, pp. 1–4, 2024. </w:t>
      </w:r>
    </w:p>
    <w:p w:rsidR="007B1100" w:rsidRDefault="00324004">
      <w:pPr>
        <w:numPr>
          <w:ilvl w:val="0"/>
          <w:numId w:val="3"/>
        </w:numPr>
        <w:ind w:hanging="360"/>
      </w:pPr>
      <w:r w:rsidRPr="000E4939">
        <w:rPr>
          <w:lang w:val="en-US"/>
        </w:rPr>
        <w:lastRenderedPageBreak/>
        <w:t xml:space="preserve">World Health Organization, WHO guideline on health promotion for maternal health: a systematic review. </w:t>
      </w:r>
      <w:proofErr w:type="spellStart"/>
      <w:r>
        <w:t>World</w:t>
      </w:r>
      <w:proofErr w:type="spellEnd"/>
      <w:r>
        <w:t xml:space="preserve"> </w:t>
      </w:r>
      <w:proofErr w:type="spellStart"/>
      <w:r>
        <w:t>Health</w:t>
      </w:r>
      <w:proofErr w:type="spellEnd"/>
      <w:r>
        <w:t xml:space="preserve"> </w:t>
      </w:r>
      <w:proofErr w:type="spellStart"/>
      <w:r>
        <w:t>Organization</w:t>
      </w:r>
      <w:proofErr w:type="spellEnd"/>
      <w:r>
        <w:t xml:space="preserve">, 2018. </w:t>
      </w:r>
    </w:p>
    <w:p w:rsidR="007B1100" w:rsidRPr="000E4939" w:rsidRDefault="00324004">
      <w:pPr>
        <w:numPr>
          <w:ilvl w:val="0"/>
          <w:numId w:val="3"/>
        </w:numPr>
        <w:ind w:hanging="360"/>
        <w:rPr>
          <w:lang w:val="en-US"/>
        </w:rPr>
      </w:pPr>
      <w:r w:rsidRPr="000E4939">
        <w:rPr>
          <w:lang w:val="en-US"/>
        </w:rPr>
        <w:t>S. Kakhramon, I. Dilbar, and S. Kamola, ‘Terminology as a special branch of language’, Journal of New Century Innovatio</w:t>
      </w:r>
      <w:r w:rsidRPr="000E4939">
        <w:rPr>
          <w:lang w:val="en-US"/>
        </w:rPr>
        <w:t xml:space="preserve">ns, vol. 22, no. 4, pp. 46–49, 2023. </w:t>
      </w:r>
    </w:p>
    <w:p w:rsidR="007B1100" w:rsidRPr="000E4939" w:rsidRDefault="00324004">
      <w:pPr>
        <w:numPr>
          <w:ilvl w:val="0"/>
          <w:numId w:val="3"/>
        </w:numPr>
        <w:ind w:hanging="360"/>
        <w:rPr>
          <w:lang w:val="en-US"/>
        </w:rPr>
      </w:pPr>
      <w:r w:rsidRPr="000E4939">
        <w:rPr>
          <w:lang w:val="en-US"/>
        </w:rPr>
        <w:t xml:space="preserve">M. Sevinch and A. Perkhan, ‘The Role </w:t>
      </w:r>
      <w:proofErr w:type="gramStart"/>
      <w:r w:rsidRPr="000E4939">
        <w:rPr>
          <w:lang w:val="en-US"/>
        </w:rPr>
        <w:t>Of</w:t>
      </w:r>
      <w:proofErr w:type="gramEnd"/>
      <w:r w:rsidRPr="000E4939">
        <w:rPr>
          <w:lang w:val="en-US"/>
        </w:rPr>
        <w:t xml:space="preserve"> The Latin Language In Medicine’, Journal of Innovation, Creativity and Art, pp. 166–169, 2023. </w:t>
      </w:r>
    </w:p>
    <w:p w:rsidR="007B1100" w:rsidRPr="000E4939" w:rsidRDefault="00324004">
      <w:pPr>
        <w:numPr>
          <w:ilvl w:val="0"/>
          <w:numId w:val="3"/>
        </w:numPr>
        <w:ind w:hanging="360"/>
        <w:rPr>
          <w:lang w:val="en-US"/>
        </w:rPr>
      </w:pPr>
      <w:r w:rsidRPr="000E4939">
        <w:rPr>
          <w:lang w:val="en-US"/>
        </w:rPr>
        <w:t>K. Saidova, ‘Education Associated With Medical English’, Journal of Science-Innova</w:t>
      </w:r>
      <w:r w:rsidRPr="000E4939">
        <w:rPr>
          <w:lang w:val="en-US"/>
        </w:rPr>
        <w:t xml:space="preserve">tive Research in Uzbekistan, vol. 3, no. 1, pp. 640–644, 2025. </w:t>
      </w:r>
    </w:p>
    <w:p w:rsidR="007B1100" w:rsidRPr="000E4939" w:rsidRDefault="00324004">
      <w:pPr>
        <w:numPr>
          <w:ilvl w:val="0"/>
          <w:numId w:val="3"/>
        </w:numPr>
        <w:ind w:hanging="360"/>
        <w:rPr>
          <w:lang w:val="en-US"/>
        </w:rPr>
      </w:pPr>
      <w:r w:rsidRPr="000E4939">
        <w:rPr>
          <w:lang w:val="en-US"/>
        </w:rPr>
        <w:t xml:space="preserve">K. Saidova, ‘Tautology </w:t>
      </w:r>
      <w:proofErr w:type="gramStart"/>
      <w:r w:rsidRPr="000E4939">
        <w:rPr>
          <w:lang w:val="en-US"/>
        </w:rPr>
        <w:t>As</w:t>
      </w:r>
      <w:proofErr w:type="gramEnd"/>
      <w:r w:rsidRPr="000E4939">
        <w:rPr>
          <w:lang w:val="en-US"/>
        </w:rPr>
        <w:t xml:space="preserve"> Phraseological Connotations’, in Conference Proceedings: Fostering Your Research Spirit, May 2024, pp. 404–406. </w:t>
      </w:r>
    </w:p>
    <w:p w:rsidR="007B1100" w:rsidRPr="000E4939" w:rsidRDefault="00324004">
      <w:pPr>
        <w:numPr>
          <w:ilvl w:val="0"/>
          <w:numId w:val="3"/>
        </w:numPr>
        <w:ind w:hanging="360"/>
        <w:rPr>
          <w:lang w:val="en-US"/>
        </w:rPr>
      </w:pPr>
      <w:r w:rsidRPr="000E4939">
        <w:rPr>
          <w:lang w:val="en-US"/>
        </w:rPr>
        <w:t>M. Z. Mardanovich and O. Mokhigul, ‘Personality in te</w:t>
      </w:r>
      <w:r w:rsidRPr="000E4939">
        <w:rPr>
          <w:lang w:val="en-US"/>
        </w:rPr>
        <w:t xml:space="preserve">aching the module of Latin and medical terminology in the medical higher education institution’, Journal of Universal Science Research, vol. 2, no. 1, pp. 425–435, 2024. </w:t>
      </w:r>
    </w:p>
    <w:p w:rsidR="007B1100" w:rsidRPr="000E4939" w:rsidRDefault="00324004">
      <w:pPr>
        <w:numPr>
          <w:ilvl w:val="0"/>
          <w:numId w:val="3"/>
        </w:numPr>
        <w:ind w:hanging="360"/>
        <w:rPr>
          <w:lang w:val="en-US"/>
        </w:rPr>
      </w:pPr>
      <w:r w:rsidRPr="000E4939">
        <w:rPr>
          <w:lang w:val="en-US"/>
        </w:rPr>
        <w:t xml:space="preserve">S. Nasimova, ‘Psychological Aspects </w:t>
      </w:r>
      <w:proofErr w:type="gramStart"/>
      <w:r w:rsidRPr="000E4939">
        <w:rPr>
          <w:lang w:val="en-US"/>
        </w:rPr>
        <w:t>Of</w:t>
      </w:r>
      <w:proofErr w:type="gramEnd"/>
      <w:r w:rsidRPr="000E4939">
        <w:rPr>
          <w:lang w:val="en-US"/>
        </w:rPr>
        <w:t xml:space="preserve"> Learning Foreign Language As The Second Langua</w:t>
      </w:r>
      <w:r w:rsidRPr="000E4939">
        <w:rPr>
          <w:lang w:val="en-US"/>
        </w:rPr>
        <w:t xml:space="preserve">ge’, International Bulletin of Applied Science and Technology, vol. 3, no. 11, pp. 203–207, 2023. </w:t>
      </w:r>
    </w:p>
    <w:p w:rsidR="007B1100" w:rsidRPr="000E4939" w:rsidRDefault="00324004">
      <w:pPr>
        <w:numPr>
          <w:ilvl w:val="0"/>
          <w:numId w:val="3"/>
        </w:numPr>
        <w:spacing w:after="110"/>
        <w:ind w:hanging="360"/>
        <w:rPr>
          <w:lang w:val="en-US"/>
        </w:rPr>
      </w:pPr>
      <w:r w:rsidRPr="000E4939">
        <w:rPr>
          <w:lang w:val="en-US"/>
        </w:rPr>
        <w:t xml:space="preserve">F. U. Fayzullaev, ‘Xorijiy tilni oʻrganishda tanqidiy fikrlashning roʻli’, Miasto Przyszłości, vol. 53, pp. 1510–1513, 2024. </w:t>
      </w:r>
    </w:p>
    <w:p w:rsidR="007B1100" w:rsidRPr="000E4939" w:rsidRDefault="00324004">
      <w:pPr>
        <w:spacing w:after="96" w:line="259" w:lineRule="auto"/>
        <w:ind w:left="0" w:firstLine="0"/>
        <w:jc w:val="left"/>
        <w:rPr>
          <w:lang w:val="en-US"/>
        </w:rPr>
      </w:pPr>
      <w:r w:rsidRPr="000E4939">
        <w:rPr>
          <w:lang w:val="en-US"/>
        </w:rPr>
        <w:t xml:space="preserve"> </w:t>
      </w:r>
    </w:p>
    <w:p w:rsidR="007B1100" w:rsidRPr="000E4939" w:rsidRDefault="00324004">
      <w:pPr>
        <w:spacing w:after="24" w:line="259" w:lineRule="auto"/>
        <w:ind w:left="994" w:firstLine="0"/>
        <w:jc w:val="left"/>
        <w:rPr>
          <w:lang w:val="en-US"/>
        </w:rPr>
      </w:pPr>
      <w:r w:rsidRPr="000E4939">
        <w:rPr>
          <w:lang w:val="en-US"/>
        </w:rPr>
        <w:t xml:space="preserve"> </w:t>
      </w:r>
    </w:p>
    <w:p w:rsidR="007B1100" w:rsidRPr="000E4939" w:rsidRDefault="00324004">
      <w:pPr>
        <w:spacing w:after="0" w:line="259" w:lineRule="auto"/>
        <w:ind w:left="202" w:firstLine="0"/>
        <w:jc w:val="center"/>
        <w:rPr>
          <w:lang w:val="en-US"/>
        </w:rPr>
      </w:pPr>
      <w:r w:rsidRPr="000E4939">
        <w:rPr>
          <w:rFonts w:ascii="Arial" w:eastAsia="Arial" w:hAnsi="Arial" w:cs="Arial"/>
          <w:lang w:val="en-US"/>
        </w:rPr>
        <w:t xml:space="preserve"> </w:t>
      </w:r>
    </w:p>
    <w:sectPr w:rsidR="007B1100" w:rsidRPr="000E4939">
      <w:headerReference w:type="even" r:id="rId8"/>
      <w:headerReference w:type="default" r:id="rId9"/>
      <w:footerReference w:type="even" r:id="rId10"/>
      <w:footerReference w:type="default" r:id="rId11"/>
      <w:headerReference w:type="first" r:id="rId12"/>
      <w:footerReference w:type="first" r:id="rId13"/>
      <w:pgSz w:w="11906" w:h="16838"/>
      <w:pgMar w:top="333" w:right="846" w:bottom="1261" w:left="1133" w:header="720" w:footer="178" w:gutter="0"/>
      <w:pgNumType w:start="48"/>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004" w:rsidRDefault="00324004">
      <w:pPr>
        <w:spacing w:after="0" w:line="240" w:lineRule="auto"/>
      </w:pPr>
      <w:r>
        <w:separator/>
      </w:r>
    </w:p>
  </w:endnote>
  <w:endnote w:type="continuationSeparator" w:id="0">
    <w:p w:rsidR="00324004" w:rsidRDefault="00324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100" w:rsidRDefault="00324004">
    <w:pPr>
      <w:spacing w:after="0" w:line="259" w:lineRule="auto"/>
      <w:ind w:left="-1133" w:right="-342"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0</wp:posOffset>
              </wp:positionH>
              <wp:positionV relativeFrom="page">
                <wp:posOffset>10076980</wp:posOffset>
              </wp:positionV>
              <wp:extent cx="7240906" cy="24197"/>
              <wp:effectExtent l="0" t="0" r="0" b="0"/>
              <wp:wrapSquare wrapText="bothSides"/>
              <wp:docPr id="6982" name="Group 6982"/>
              <wp:cNvGraphicFramePr/>
              <a:graphic xmlns:a="http://schemas.openxmlformats.org/drawingml/2006/main">
                <a:graphicData uri="http://schemas.microsoft.com/office/word/2010/wordprocessingGroup">
                  <wpg:wgp>
                    <wpg:cNvGrpSpPr/>
                    <wpg:grpSpPr>
                      <a:xfrm>
                        <a:off x="0" y="0"/>
                        <a:ext cx="7240906" cy="24197"/>
                        <a:chOff x="0" y="0"/>
                        <a:chExt cx="7240906" cy="24197"/>
                      </a:xfrm>
                    </wpg:grpSpPr>
                    <wps:wsp>
                      <wps:cNvPr id="6983" name="Shape 6983"/>
                      <wps:cNvSpPr/>
                      <wps:spPr>
                        <a:xfrm>
                          <a:off x="0" y="0"/>
                          <a:ext cx="7240906" cy="24197"/>
                        </a:xfrm>
                        <a:custGeom>
                          <a:avLst/>
                          <a:gdLst/>
                          <a:ahLst/>
                          <a:cxnLst/>
                          <a:rect l="0" t="0" r="0" b="0"/>
                          <a:pathLst>
                            <a:path w="7240906" h="24197">
                              <a:moveTo>
                                <a:pt x="0" y="24197"/>
                              </a:moveTo>
                              <a:lnTo>
                                <a:pt x="7240906"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82" style="width:570.15pt;height:1.90527pt;position:absolute;mso-position-horizontal-relative:page;mso-position-horizontal:absolute;margin-left:0pt;mso-position-vertical-relative:page;margin-top:793.463pt;" coordsize="72409,241">
              <v:shape id="Shape 6983" style="position:absolute;width:72409;height:241;left:0;top:0;" coordsize="7240906,24197" path="m0,24197l7240906,0">
                <v:stroke weight="0.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7B1100" w:rsidRPr="000E4939" w:rsidRDefault="00324004">
    <w:pPr>
      <w:spacing w:after="84" w:line="259" w:lineRule="auto"/>
      <w:ind w:left="0" w:firstLine="0"/>
      <w:jc w:val="left"/>
      <w:rPr>
        <w:lang w:val="en-US"/>
      </w:rPr>
    </w:pPr>
    <w:r w:rsidRPr="000E4939">
      <w:rPr>
        <w:rFonts w:ascii="Calibri" w:eastAsia="Calibri" w:hAnsi="Calibri" w:cs="Calibri"/>
        <w:sz w:val="16"/>
        <w:lang w:val="en-US"/>
      </w:rPr>
      <w:t>Copyright © 202</w:t>
    </w:r>
    <w:r>
      <w:fldChar w:fldCharType="begin"/>
    </w:r>
    <w:r w:rsidRPr="000E4939">
      <w:rPr>
        <w:lang w:val="en-US"/>
      </w:rPr>
      <w:instrText xml:space="preserve"> NUMPAGES   \* MERGEFORMAT </w:instrText>
    </w:r>
    <w:r>
      <w:fldChar w:fldCharType="separate"/>
    </w:r>
    <w:r w:rsidRPr="000E4939">
      <w:rPr>
        <w:rFonts w:ascii="Calibri" w:eastAsia="Calibri" w:hAnsi="Calibri" w:cs="Calibri"/>
        <w:sz w:val="16"/>
        <w:lang w:val="en-US"/>
      </w:rPr>
      <w:t>5</w:t>
    </w:r>
    <w:r>
      <w:rPr>
        <w:rFonts w:ascii="Calibri" w:eastAsia="Calibri" w:hAnsi="Calibri" w:cs="Calibri"/>
        <w:sz w:val="16"/>
      </w:rPr>
      <w:fldChar w:fldCharType="end"/>
    </w:r>
    <w:r w:rsidRPr="000E4939">
      <w:rPr>
        <w:rFonts w:ascii="Calibri" w:eastAsia="Calibri" w:hAnsi="Calibri" w:cs="Calibri"/>
        <w:sz w:val="16"/>
        <w:lang w:val="en-US"/>
      </w:rPr>
      <w:t xml:space="preserve"> </w:t>
    </w:r>
    <w:r w:rsidRPr="000E4939">
      <w:rPr>
        <w:rFonts w:ascii="Calibri" w:eastAsia="Calibri" w:hAnsi="Calibri" w:cs="Calibri"/>
        <w:sz w:val="16"/>
        <w:lang w:val="en-US"/>
      </w:rPr>
      <w:t xml:space="preserve">The Author(s). This is an open-access article distributed under the terms of the Creative Commons Attribution License </w:t>
    </w:r>
  </w:p>
  <w:p w:rsidR="007B1100" w:rsidRPr="000E4939" w:rsidRDefault="00324004">
    <w:pPr>
      <w:spacing w:after="0" w:line="277" w:lineRule="auto"/>
      <w:ind w:left="0" w:right="-117" w:firstLine="0"/>
      <w:jc w:val="left"/>
      <w:rPr>
        <w:lang w:val="en-US"/>
      </w:rPr>
    </w:pPr>
    <w:r w:rsidRPr="000E4939">
      <w:rPr>
        <w:rFonts w:ascii="Calibri" w:eastAsia="Calibri" w:hAnsi="Calibri" w:cs="Calibri"/>
        <w:sz w:val="16"/>
        <w:lang w:val="en-US"/>
      </w:rPr>
      <w:t xml:space="preserve">(http://creativecommons.org/licenses/by/4.0), which permits unrestricted use, distribution, and reproduction in any medium               </w:t>
    </w:r>
    <w:r w:rsidRPr="000E4939">
      <w:rPr>
        <w:rFonts w:ascii="Calibri" w:eastAsia="Calibri" w:hAnsi="Calibri" w:cs="Calibri"/>
        <w:sz w:val="16"/>
        <w:lang w:val="en-US"/>
      </w:rPr>
      <w:t xml:space="preserve">                                </w:t>
    </w:r>
    <w:r>
      <w:fldChar w:fldCharType="begin"/>
    </w:r>
    <w:r w:rsidRPr="000E4939">
      <w:rPr>
        <w:lang w:val="en-US"/>
      </w:rPr>
      <w:instrText xml:space="preserve"> PAGE   \* MERGEFORMAT </w:instrText>
    </w:r>
    <w:r>
      <w:fldChar w:fldCharType="separate"/>
    </w:r>
    <w:r w:rsidRPr="000E4939">
      <w:rPr>
        <w:rFonts w:ascii="Calibri" w:eastAsia="Calibri" w:hAnsi="Calibri" w:cs="Calibri"/>
        <w:sz w:val="22"/>
        <w:lang w:val="en-US"/>
      </w:rPr>
      <w:t>48</w:t>
    </w:r>
    <w:r>
      <w:rPr>
        <w:rFonts w:ascii="Calibri" w:eastAsia="Calibri" w:hAnsi="Calibri" w:cs="Calibri"/>
        <w:sz w:val="22"/>
      </w:rPr>
      <w:fldChar w:fldCharType="end"/>
    </w:r>
    <w:r w:rsidRPr="000E4939">
      <w:rPr>
        <w:rFonts w:ascii="Calibri" w:eastAsia="Calibri" w:hAnsi="Calibri" w:cs="Calibri"/>
        <w:sz w:val="22"/>
        <w:lang w:val="en-US"/>
      </w:rPr>
      <w:t xml:space="preserve"> </w:t>
    </w:r>
    <w:r w:rsidRPr="000E4939">
      <w:rPr>
        <w:rFonts w:ascii="Calibri" w:eastAsia="Calibri" w:hAnsi="Calibri" w:cs="Calibri"/>
        <w:sz w:val="16"/>
        <w:lang w:val="en-US"/>
      </w:rPr>
      <w:t xml:space="preserve">provided the original work is properly cited.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100" w:rsidRDefault="00324004">
    <w:pPr>
      <w:spacing w:after="0" w:line="259" w:lineRule="auto"/>
      <w:ind w:left="-1133" w:right="-342" w:firstLine="0"/>
      <w:jc w:val="righ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10076980</wp:posOffset>
              </wp:positionV>
              <wp:extent cx="7240906" cy="24197"/>
              <wp:effectExtent l="0" t="0" r="0" b="0"/>
              <wp:wrapSquare wrapText="bothSides"/>
              <wp:docPr id="6941" name="Group 6941"/>
              <wp:cNvGraphicFramePr/>
              <a:graphic xmlns:a="http://schemas.openxmlformats.org/drawingml/2006/main">
                <a:graphicData uri="http://schemas.microsoft.com/office/word/2010/wordprocessingGroup">
                  <wpg:wgp>
                    <wpg:cNvGrpSpPr/>
                    <wpg:grpSpPr>
                      <a:xfrm>
                        <a:off x="0" y="0"/>
                        <a:ext cx="7240906" cy="24197"/>
                        <a:chOff x="0" y="0"/>
                        <a:chExt cx="7240906" cy="24197"/>
                      </a:xfrm>
                    </wpg:grpSpPr>
                    <wps:wsp>
                      <wps:cNvPr id="6942" name="Shape 6942"/>
                      <wps:cNvSpPr/>
                      <wps:spPr>
                        <a:xfrm>
                          <a:off x="0" y="0"/>
                          <a:ext cx="7240906" cy="24197"/>
                        </a:xfrm>
                        <a:custGeom>
                          <a:avLst/>
                          <a:gdLst/>
                          <a:ahLst/>
                          <a:cxnLst/>
                          <a:rect l="0" t="0" r="0" b="0"/>
                          <a:pathLst>
                            <a:path w="7240906" h="24197">
                              <a:moveTo>
                                <a:pt x="0" y="24197"/>
                              </a:moveTo>
                              <a:lnTo>
                                <a:pt x="7240906"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41" style="width:570.15pt;height:1.90527pt;position:absolute;mso-position-horizontal-relative:page;mso-position-horizontal:absolute;margin-left:0pt;mso-position-vertical-relative:page;margin-top:793.463pt;" coordsize="72409,241">
              <v:shape id="Shape 6942" style="position:absolute;width:72409;height:241;left:0;top:0;" coordsize="7240906,24197" path="m0,24197l7240906,0">
                <v:stroke weight="0.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7B1100" w:rsidRPr="000E4939" w:rsidRDefault="00324004">
    <w:pPr>
      <w:spacing w:after="84" w:line="259" w:lineRule="auto"/>
      <w:ind w:left="0" w:firstLine="0"/>
      <w:jc w:val="left"/>
      <w:rPr>
        <w:lang w:val="en-US"/>
      </w:rPr>
    </w:pPr>
    <w:r w:rsidRPr="000E4939">
      <w:rPr>
        <w:rFonts w:ascii="Calibri" w:eastAsia="Calibri" w:hAnsi="Calibri" w:cs="Calibri"/>
        <w:sz w:val="16"/>
        <w:lang w:val="en-US"/>
      </w:rPr>
      <w:t>Copyright © 202</w:t>
    </w:r>
    <w:r>
      <w:fldChar w:fldCharType="begin"/>
    </w:r>
    <w:r w:rsidRPr="000E4939">
      <w:rPr>
        <w:lang w:val="en-US"/>
      </w:rPr>
      <w:instrText xml:space="preserve"> NUMPAGES   \* MERGEFORMAT </w:instrText>
    </w:r>
    <w:r>
      <w:fldChar w:fldCharType="separate"/>
    </w:r>
    <w:r w:rsidR="000E4939" w:rsidRPr="000E4939">
      <w:rPr>
        <w:rFonts w:ascii="Calibri" w:eastAsia="Calibri" w:hAnsi="Calibri" w:cs="Calibri"/>
        <w:noProof/>
        <w:sz w:val="16"/>
        <w:lang w:val="en-US"/>
      </w:rPr>
      <w:t>5</w:t>
    </w:r>
    <w:r>
      <w:rPr>
        <w:rFonts w:ascii="Calibri" w:eastAsia="Calibri" w:hAnsi="Calibri" w:cs="Calibri"/>
        <w:sz w:val="16"/>
      </w:rPr>
      <w:fldChar w:fldCharType="end"/>
    </w:r>
    <w:r w:rsidRPr="000E4939">
      <w:rPr>
        <w:rFonts w:ascii="Calibri" w:eastAsia="Calibri" w:hAnsi="Calibri" w:cs="Calibri"/>
        <w:sz w:val="16"/>
        <w:lang w:val="en-US"/>
      </w:rPr>
      <w:t xml:space="preserve"> The Author(s). This is an open-access article distributed under the terms of the Creative Commons</w:t>
    </w:r>
    <w:r w:rsidRPr="000E4939">
      <w:rPr>
        <w:rFonts w:ascii="Calibri" w:eastAsia="Calibri" w:hAnsi="Calibri" w:cs="Calibri"/>
        <w:sz w:val="16"/>
        <w:lang w:val="en-US"/>
      </w:rPr>
      <w:t xml:space="preserve"> Attribution License </w:t>
    </w:r>
  </w:p>
  <w:p w:rsidR="007B1100" w:rsidRPr="000E4939" w:rsidRDefault="00324004">
    <w:pPr>
      <w:spacing w:after="0" w:line="277" w:lineRule="auto"/>
      <w:ind w:left="0" w:right="-117" w:firstLine="0"/>
      <w:jc w:val="left"/>
      <w:rPr>
        <w:lang w:val="en-US"/>
      </w:rPr>
    </w:pPr>
    <w:r w:rsidRPr="000E4939">
      <w:rPr>
        <w:rFonts w:ascii="Calibri" w:eastAsia="Calibri" w:hAnsi="Calibri" w:cs="Calibri"/>
        <w:sz w:val="16"/>
        <w:lang w:val="en-US"/>
      </w:rPr>
      <w:t xml:space="preserve">(http://creativecommons.org/licenses/by/4.0), which permits unrestricted use, distribution, and reproduction in any medium                                               </w:t>
    </w:r>
    <w:r>
      <w:fldChar w:fldCharType="begin"/>
    </w:r>
    <w:r w:rsidRPr="000E4939">
      <w:rPr>
        <w:lang w:val="en-US"/>
      </w:rPr>
      <w:instrText xml:space="preserve"> PAGE   \* MERGEFORMAT </w:instrText>
    </w:r>
    <w:r>
      <w:fldChar w:fldCharType="separate"/>
    </w:r>
    <w:r w:rsidR="000E4939" w:rsidRPr="000E4939">
      <w:rPr>
        <w:rFonts w:ascii="Calibri" w:eastAsia="Calibri" w:hAnsi="Calibri" w:cs="Calibri"/>
        <w:noProof/>
        <w:sz w:val="22"/>
        <w:lang w:val="en-US"/>
      </w:rPr>
      <w:t>52</w:t>
    </w:r>
    <w:r>
      <w:rPr>
        <w:rFonts w:ascii="Calibri" w:eastAsia="Calibri" w:hAnsi="Calibri" w:cs="Calibri"/>
        <w:sz w:val="22"/>
      </w:rPr>
      <w:fldChar w:fldCharType="end"/>
    </w:r>
    <w:r w:rsidRPr="000E4939">
      <w:rPr>
        <w:rFonts w:ascii="Calibri" w:eastAsia="Calibri" w:hAnsi="Calibri" w:cs="Calibri"/>
        <w:sz w:val="22"/>
        <w:lang w:val="en-US"/>
      </w:rPr>
      <w:t xml:space="preserve"> </w:t>
    </w:r>
    <w:r w:rsidRPr="000E4939">
      <w:rPr>
        <w:rFonts w:ascii="Calibri" w:eastAsia="Calibri" w:hAnsi="Calibri" w:cs="Calibri"/>
        <w:sz w:val="16"/>
        <w:lang w:val="en-US"/>
      </w:rPr>
      <w:t>provided the original work is proper</w:t>
    </w:r>
    <w:r w:rsidRPr="000E4939">
      <w:rPr>
        <w:rFonts w:ascii="Calibri" w:eastAsia="Calibri" w:hAnsi="Calibri" w:cs="Calibri"/>
        <w:sz w:val="16"/>
        <w:lang w:val="en-US"/>
      </w:rPr>
      <w:t xml:space="preserve">ly cited.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100" w:rsidRDefault="00324004">
    <w:pPr>
      <w:spacing w:after="0" w:line="259" w:lineRule="auto"/>
      <w:ind w:left="-1133" w:right="-342" w:firstLine="0"/>
      <w:jc w:val="righ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0</wp:posOffset>
              </wp:positionH>
              <wp:positionV relativeFrom="page">
                <wp:posOffset>10076980</wp:posOffset>
              </wp:positionV>
              <wp:extent cx="7240906" cy="24197"/>
              <wp:effectExtent l="0" t="0" r="0" b="0"/>
              <wp:wrapSquare wrapText="bothSides"/>
              <wp:docPr id="6900" name="Group 6900"/>
              <wp:cNvGraphicFramePr/>
              <a:graphic xmlns:a="http://schemas.openxmlformats.org/drawingml/2006/main">
                <a:graphicData uri="http://schemas.microsoft.com/office/word/2010/wordprocessingGroup">
                  <wpg:wgp>
                    <wpg:cNvGrpSpPr/>
                    <wpg:grpSpPr>
                      <a:xfrm>
                        <a:off x="0" y="0"/>
                        <a:ext cx="7240906" cy="24197"/>
                        <a:chOff x="0" y="0"/>
                        <a:chExt cx="7240906" cy="24197"/>
                      </a:xfrm>
                    </wpg:grpSpPr>
                    <wps:wsp>
                      <wps:cNvPr id="6901" name="Shape 6901"/>
                      <wps:cNvSpPr/>
                      <wps:spPr>
                        <a:xfrm>
                          <a:off x="0" y="0"/>
                          <a:ext cx="7240906" cy="24197"/>
                        </a:xfrm>
                        <a:custGeom>
                          <a:avLst/>
                          <a:gdLst/>
                          <a:ahLst/>
                          <a:cxnLst/>
                          <a:rect l="0" t="0" r="0" b="0"/>
                          <a:pathLst>
                            <a:path w="7240906" h="24197">
                              <a:moveTo>
                                <a:pt x="0" y="24197"/>
                              </a:moveTo>
                              <a:lnTo>
                                <a:pt x="7240906"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00" style="width:570.15pt;height:1.90527pt;position:absolute;mso-position-horizontal-relative:page;mso-position-horizontal:absolute;margin-left:0pt;mso-position-vertical-relative:page;margin-top:793.463pt;" coordsize="72409,241">
              <v:shape id="Shape 6901" style="position:absolute;width:72409;height:241;left:0;top:0;" coordsize="7240906,24197" path="m0,24197l7240906,0">
                <v:stroke weight="0.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7B1100" w:rsidRPr="000E4939" w:rsidRDefault="00324004">
    <w:pPr>
      <w:spacing w:after="84" w:line="259" w:lineRule="auto"/>
      <w:ind w:left="0" w:firstLine="0"/>
      <w:jc w:val="left"/>
      <w:rPr>
        <w:lang w:val="en-US"/>
      </w:rPr>
    </w:pPr>
    <w:r w:rsidRPr="000E4939">
      <w:rPr>
        <w:rFonts w:ascii="Calibri" w:eastAsia="Calibri" w:hAnsi="Calibri" w:cs="Calibri"/>
        <w:sz w:val="16"/>
        <w:lang w:val="en-US"/>
      </w:rPr>
      <w:t>Copyright © 202</w:t>
    </w:r>
    <w:r>
      <w:fldChar w:fldCharType="begin"/>
    </w:r>
    <w:r w:rsidRPr="000E4939">
      <w:rPr>
        <w:lang w:val="en-US"/>
      </w:rPr>
      <w:instrText xml:space="preserve"> NUMPAGES   \* MERGEFORMAT </w:instrText>
    </w:r>
    <w:r>
      <w:fldChar w:fldCharType="separate"/>
    </w:r>
    <w:r w:rsidR="000E4939" w:rsidRPr="000E4939">
      <w:rPr>
        <w:rFonts w:ascii="Calibri" w:eastAsia="Calibri" w:hAnsi="Calibri" w:cs="Calibri"/>
        <w:noProof/>
        <w:sz w:val="16"/>
        <w:lang w:val="en-US"/>
      </w:rPr>
      <w:t>5</w:t>
    </w:r>
    <w:r>
      <w:rPr>
        <w:rFonts w:ascii="Calibri" w:eastAsia="Calibri" w:hAnsi="Calibri" w:cs="Calibri"/>
        <w:sz w:val="16"/>
      </w:rPr>
      <w:fldChar w:fldCharType="end"/>
    </w:r>
    <w:r w:rsidRPr="000E4939">
      <w:rPr>
        <w:rFonts w:ascii="Calibri" w:eastAsia="Calibri" w:hAnsi="Calibri" w:cs="Calibri"/>
        <w:sz w:val="16"/>
        <w:lang w:val="en-US"/>
      </w:rPr>
      <w:t xml:space="preserve"> The Author(s). This is an open-access article distributed under the terms of the Creative Commons Attribution License </w:t>
    </w:r>
  </w:p>
  <w:p w:rsidR="007B1100" w:rsidRPr="000E4939" w:rsidRDefault="00324004">
    <w:pPr>
      <w:spacing w:after="0" w:line="277" w:lineRule="auto"/>
      <w:ind w:left="0" w:right="-117" w:firstLine="0"/>
      <w:jc w:val="left"/>
      <w:rPr>
        <w:lang w:val="en-US"/>
      </w:rPr>
    </w:pPr>
    <w:r w:rsidRPr="000E4939">
      <w:rPr>
        <w:rFonts w:ascii="Calibri" w:eastAsia="Calibri" w:hAnsi="Calibri" w:cs="Calibri"/>
        <w:sz w:val="16"/>
        <w:lang w:val="en-US"/>
      </w:rPr>
      <w:t>(http://creativecommons.org/licenses/by/4.0), which permits unrestricted us</w:t>
    </w:r>
    <w:r w:rsidRPr="000E4939">
      <w:rPr>
        <w:rFonts w:ascii="Calibri" w:eastAsia="Calibri" w:hAnsi="Calibri" w:cs="Calibri"/>
        <w:sz w:val="16"/>
        <w:lang w:val="en-US"/>
      </w:rPr>
      <w:t xml:space="preserve">e, distribution, and reproduction in any medium                                               </w:t>
    </w:r>
    <w:r>
      <w:fldChar w:fldCharType="begin"/>
    </w:r>
    <w:r w:rsidRPr="000E4939">
      <w:rPr>
        <w:lang w:val="en-US"/>
      </w:rPr>
      <w:instrText xml:space="preserve"> PAGE   \* MERGEFORMAT </w:instrText>
    </w:r>
    <w:r>
      <w:fldChar w:fldCharType="separate"/>
    </w:r>
    <w:r w:rsidR="000E4939" w:rsidRPr="000E4939">
      <w:rPr>
        <w:rFonts w:ascii="Calibri" w:eastAsia="Calibri" w:hAnsi="Calibri" w:cs="Calibri"/>
        <w:noProof/>
        <w:sz w:val="22"/>
        <w:lang w:val="en-US"/>
      </w:rPr>
      <w:t>48</w:t>
    </w:r>
    <w:r>
      <w:rPr>
        <w:rFonts w:ascii="Calibri" w:eastAsia="Calibri" w:hAnsi="Calibri" w:cs="Calibri"/>
        <w:sz w:val="22"/>
      </w:rPr>
      <w:fldChar w:fldCharType="end"/>
    </w:r>
    <w:r w:rsidRPr="000E4939">
      <w:rPr>
        <w:rFonts w:ascii="Calibri" w:eastAsia="Calibri" w:hAnsi="Calibri" w:cs="Calibri"/>
        <w:sz w:val="22"/>
        <w:lang w:val="en-US"/>
      </w:rPr>
      <w:t xml:space="preserve"> </w:t>
    </w:r>
    <w:r w:rsidRPr="000E4939">
      <w:rPr>
        <w:rFonts w:ascii="Calibri" w:eastAsia="Calibri" w:hAnsi="Calibri" w:cs="Calibri"/>
        <w:sz w:val="16"/>
        <w:lang w:val="en-US"/>
      </w:rPr>
      <w:t xml:space="preserve">provided the original work is properly cited.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004" w:rsidRDefault="00324004">
      <w:pPr>
        <w:spacing w:after="0" w:line="240" w:lineRule="auto"/>
      </w:pPr>
      <w:r>
        <w:separator/>
      </w:r>
    </w:p>
  </w:footnote>
  <w:footnote w:type="continuationSeparator" w:id="0">
    <w:p w:rsidR="00324004" w:rsidRDefault="00324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100" w:rsidRPr="000E4939" w:rsidRDefault="00324004">
    <w:pPr>
      <w:spacing w:after="0" w:line="259" w:lineRule="auto"/>
      <w:ind w:left="281" w:firstLine="0"/>
      <w:jc w:val="center"/>
      <w:rPr>
        <w:lang w:val="en-US"/>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514418</wp:posOffset>
              </wp:positionV>
              <wp:extent cx="6847206" cy="6282"/>
              <wp:effectExtent l="0" t="0" r="0" b="0"/>
              <wp:wrapSquare wrapText="bothSides"/>
              <wp:docPr id="6973" name="Group 6973"/>
              <wp:cNvGraphicFramePr/>
              <a:graphic xmlns:a="http://schemas.openxmlformats.org/drawingml/2006/main">
                <a:graphicData uri="http://schemas.microsoft.com/office/word/2010/wordprocessingGroup">
                  <wpg:wgp>
                    <wpg:cNvGrpSpPr/>
                    <wpg:grpSpPr>
                      <a:xfrm>
                        <a:off x="0" y="0"/>
                        <a:ext cx="6847206" cy="6282"/>
                        <a:chOff x="0" y="0"/>
                        <a:chExt cx="6847206" cy="6282"/>
                      </a:xfrm>
                    </wpg:grpSpPr>
                    <wps:wsp>
                      <wps:cNvPr id="6974" name="Shape 6974"/>
                      <wps:cNvSpPr/>
                      <wps:spPr>
                        <a:xfrm>
                          <a:off x="0" y="0"/>
                          <a:ext cx="6847206" cy="6282"/>
                        </a:xfrm>
                        <a:custGeom>
                          <a:avLst/>
                          <a:gdLst/>
                          <a:ahLst/>
                          <a:cxnLst/>
                          <a:rect l="0" t="0" r="0" b="0"/>
                          <a:pathLst>
                            <a:path w="6847206" h="6282">
                              <a:moveTo>
                                <a:pt x="6847206" y="6282"/>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73" style="width:539.15pt;height:0.494633pt;position:absolute;mso-position-horizontal-relative:page;mso-position-horizontal:absolute;margin-left:0pt;mso-position-vertical-relative:page;margin-top:40.5054pt;" coordsize="68472,62">
              <v:shape id="Shape 6974" style="position:absolute;width:68472;height:62;left:0;top:0;" coordsize="6847206,6282" path="m6847206,6282l0,0">
                <v:stroke weight="1pt" endcap="flat" joinstyle="miter" miterlimit="10" on="true" color="#000000"/>
                <v:fill on="false" color="#000000" opacity="0"/>
              </v:shape>
              <w10:wrap type="square"/>
            </v:group>
          </w:pict>
        </mc:Fallback>
      </mc:AlternateContent>
    </w:r>
    <w:r w:rsidRPr="000E4939">
      <w:rPr>
        <w:rFonts w:ascii="Calibri" w:eastAsia="Calibri" w:hAnsi="Calibri" w:cs="Calibri"/>
        <w:i/>
        <w:sz w:val="18"/>
        <w:lang w:val="en-US"/>
      </w:rPr>
      <w:t xml:space="preserve">International Journal of Alternative and Contemporary Therapy  </w:t>
    </w:r>
  </w:p>
  <w:p w:rsidR="007B1100" w:rsidRDefault="00324004">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6975" name="Group 697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6975"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100" w:rsidRPr="000E4939" w:rsidRDefault="00324004">
    <w:pPr>
      <w:spacing w:after="0" w:line="259" w:lineRule="auto"/>
      <w:ind w:left="281" w:firstLine="0"/>
      <w:jc w:val="center"/>
      <w:rPr>
        <w:lang w:val="en-US"/>
      </w:rP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514418</wp:posOffset>
              </wp:positionV>
              <wp:extent cx="6847206" cy="6282"/>
              <wp:effectExtent l="0" t="0" r="0" b="0"/>
              <wp:wrapSquare wrapText="bothSides"/>
              <wp:docPr id="6932" name="Group 6932"/>
              <wp:cNvGraphicFramePr/>
              <a:graphic xmlns:a="http://schemas.openxmlformats.org/drawingml/2006/main">
                <a:graphicData uri="http://schemas.microsoft.com/office/word/2010/wordprocessingGroup">
                  <wpg:wgp>
                    <wpg:cNvGrpSpPr/>
                    <wpg:grpSpPr>
                      <a:xfrm>
                        <a:off x="0" y="0"/>
                        <a:ext cx="6847206" cy="6282"/>
                        <a:chOff x="0" y="0"/>
                        <a:chExt cx="6847206" cy="6282"/>
                      </a:xfrm>
                    </wpg:grpSpPr>
                    <wps:wsp>
                      <wps:cNvPr id="6933" name="Shape 6933"/>
                      <wps:cNvSpPr/>
                      <wps:spPr>
                        <a:xfrm>
                          <a:off x="0" y="0"/>
                          <a:ext cx="6847206" cy="6282"/>
                        </a:xfrm>
                        <a:custGeom>
                          <a:avLst/>
                          <a:gdLst/>
                          <a:ahLst/>
                          <a:cxnLst/>
                          <a:rect l="0" t="0" r="0" b="0"/>
                          <a:pathLst>
                            <a:path w="6847206" h="6282">
                              <a:moveTo>
                                <a:pt x="6847206" y="6282"/>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32" style="width:539.15pt;height:0.494633pt;position:absolute;mso-position-horizontal-relative:page;mso-position-horizontal:absolute;margin-left:0pt;mso-position-vertical-relative:page;margin-top:40.5054pt;" coordsize="68472,62">
              <v:shape id="Shape 6933" style="position:absolute;width:68472;height:62;left:0;top:0;" coordsize="6847206,6282" path="m6847206,6282l0,0">
                <v:stroke weight="1pt" endcap="flat" joinstyle="miter" miterlimit="10" on="true" color="#000000"/>
                <v:fill on="false" color="#000000" opacity="0"/>
              </v:shape>
              <w10:wrap type="square"/>
            </v:group>
          </w:pict>
        </mc:Fallback>
      </mc:AlternateContent>
    </w:r>
    <w:r w:rsidRPr="000E4939">
      <w:rPr>
        <w:rFonts w:ascii="Calibri" w:eastAsia="Calibri" w:hAnsi="Calibri" w:cs="Calibri"/>
        <w:i/>
        <w:sz w:val="18"/>
        <w:lang w:val="en-US"/>
      </w:rPr>
      <w:t xml:space="preserve">International Journal of Alternative and Contemporary Therapy  </w:t>
    </w:r>
  </w:p>
  <w:p w:rsidR="007B1100" w:rsidRDefault="00324004">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1" cy="1"/>
              <wp:effectExtent l="0" t="0" r="0" b="0"/>
              <wp:wrapNone/>
              <wp:docPr id="6934" name="Group 693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6934"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100" w:rsidRDefault="00324004">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514418</wp:posOffset>
              </wp:positionV>
              <wp:extent cx="6847206" cy="6282"/>
              <wp:effectExtent l="0" t="0" r="0" b="0"/>
              <wp:wrapNone/>
              <wp:docPr id="6892" name="Group 6892"/>
              <wp:cNvGraphicFramePr/>
              <a:graphic xmlns:a="http://schemas.openxmlformats.org/drawingml/2006/main">
                <a:graphicData uri="http://schemas.microsoft.com/office/word/2010/wordprocessingGroup">
                  <wpg:wgp>
                    <wpg:cNvGrpSpPr/>
                    <wpg:grpSpPr>
                      <a:xfrm>
                        <a:off x="0" y="0"/>
                        <a:ext cx="6847206" cy="6282"/>
                        <a:chOff x="0" y="0"/>
                        <a:chExt cx="6847206" cy="6282"/>
                      </a:xfrm>
                    </wpg:grpSpPr>
                    <wps:wsp>
                      <wps:cNvPr id="6893" name="Shape 6893"/>
                      <wps:cNvSpPr/>
                      <wps:spPr>
                        <a:xfrm>
                          <a:off x="0" y="0"/>
                          <a:ext cx="6847206" cy="6282"/>
                        </a:xfrm>
                        <a:custGeom>
                          <a:avLst/>
                          <a:gdLst/>
                          <a:ahLst/>
                          <a:cxnLst/>
                          <a:rect l="0" t="0" r="0" b="0"/>
                          <a:pathLst>
                            <a:path w="6847206" h="6282">
                              <a:moveTo>
                                <a:pt x="6847206" y="6282"/>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892" style="width:539.15pt;height:0.494633pt;position:absolute;z-index:-2147483648;mso-position-horizontal-relative:page;mso-position-horizontal:absolute;margin-left:0pt;mso-position-vertical-relative:page;margin-top:40.5054pt;" coordsize="68472,62">
              <v:shape id="Shape 6893" style="position:absolute;width:68472;height:62;left:0;top:0;" coordsize="6847206,6282" path="m6847206,6282l0,0">
                <v:stroke weight="1pt" endcap="flat" joinstyle="miter" miterlimit="10" on="true" color="#000000"/>
                <v:fill on="false" color="#000000" opacity="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9399C"/>
    <w:multiLevelType w:val="hybridMultilevel"/>
    <w:tmpl w:val="CE82F680"/>
    <w:lvl w:ilvl="0" w:tplc="1666BB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E074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0E3F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F848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C4DC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2056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96A5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3A41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F8F4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CE71F0"/>
    <w:multiLevelType w:val="hybridMultilevel"/>
    <w:tmpl w:val="CEEEFE38"/>
    <w:lvl w:ilvl="0" w:tplc="3E3AA0E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5C39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AE93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CE94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6CD5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966E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E893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6005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5A74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6FD3E5E"/>
    <w:multiLevelType w:val="hybridMultilevel"/>
    <w:tmpl w:val="B1024152"/>
    <w:lvl w:ilvl="0" w:tplc="679656F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74B4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AA7B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DE83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3052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F686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6873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1CCF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9CD1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100"/>
    <w:rsid w:val="000E4939"/>
    <w:rsid w:val="00324004"/>
    <w:rsid w:val="007B1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1D763E-EDFA-416B-9C70-2A214FE4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8" w:line="248"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91"/>
      <w:ind w:left="10" w:right="5"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2376</Words>
  <Characters>13549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Mahfiza Razoqova</dc:creator>
  <cp:keywords/>
  <cp:lastModifiedBy>texnomarket</cp:lastModifiedBy>
  <cp:revision>2</cp:revision>
  <dcterms:created xsi:type="dcterms:W3CDTF">2025-03-17T07:42:00Z</dcterms:created>
  <dcterms:modified xsi:type="dcterms:W3CDTF">2025-03-17T07:42:00Z</dcterms:modified>
</cp:coreProperties>
</file>